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53A" w:rsidRPr="00CA553A" w:rsidRDefault="00CA553A" w:rsidP="00CA553A">
      <w:pPr>
        <w:widowControl/>
        <w:jc w:val="left"/>
        <w:rPr>
          <w:rFonts w:ascii="Microsoft Yahei" w:eastAsia="宋体" w:hAnsi="Microsoft Yahei" w:cs="宋体"/>
          <w:kern w:val="0"/>
          <w:sz w:val="16"/>
          <w:szCs w:val="16"/>
        </w:rPr>
      </w:pPr>
    </w:p>
    <w:p w:rsidR="00CA553A" w:rsidRPr="00CA553A" w:rsidRDefault="00CA553A" w:rsidP="00CA553A">
      <w:pPr>
        <w:widowControl/>
        <w:jc w:val="center"/>
        <w:outlineLvl w:val="1"/>
        <w:rPr>
          <w:rFonts w:ascii="Microsoft Yahei" w:eastAsia="宋体" w:hAnsi="Microsoft Yahei" w:cs="宋体"/>
          <w:bCs/>
          <w:kern w:val="0"/>
          <w:sz w:val="24"/>
          <w:szCs w:val="24"/>
        </w:rPr>
      </w:pPr>
      <w:r w:rsidRPr="00CA553A">
        <w:rPr>
          <w:rFonts w:ascii="Microsoft Yahei" w:eastAsia="宋体" w:hAnsi="Microsoft Yahei" w:cs="宋体"/>
          <w:bCs/>
          <w:kern w:val="0"/>
          <w:sz w:val="24"/>
          <w:szCs w:val="24"/>
        </w:rPr>
        <w:t>中华人民共和国进出口商品检验法实施条例（</w:t>
      </w:r>
      <w:r w:rsidRPr="00CA553A">
        <w:rPr>
          <w:rFonts w:ascii="Microsoft Yahei" w:eastAsia="宋体" w:hAnsi="Microsoft Yahei" w:cs="宋体"/>
          <w:bCs/>
          <w:kern w:val="0"/>
          <w:sz w:val="24"/>
          <w:szCs w:val="24"/>
        </w:rPr>
        <w:t>2019</w:t>
      </w:r>
      <w:r w:rsidRPr="00CA553A">
        <w:rPr>
          <w:rFonts w:ascii="Microsoft Yahei" w:eastAsia="宋体" w:hAnsi="Microsoft Yahei" w:cs="宋体"/>
          <w:bCs/>
          <w:kern w:val="0"/>
          <w:sz w:val="24"/>
          <w:szCs w:val="24"/>
        </w:rPr>
        <w:t>年修订）</w:t>
      </w:r>
    </w:p>
    <w:p w:rsidR="00CA553A" w:rsidRPr="00CA553A" w:rsidRDefault="00CA553A" w:rsidP="00CA553A">
      <w:pPr>
        <w:widowControl/>
        <w:spacing w:before="100" w:beforeAutospacing="1" w:after="100" w:afterAutospacing="1"/>
        <w:ind w:firstLineChars="200" w:firstLine="420"/>
        <w:jc w:val="left"/>
        <w:rPr>
          <w:rFonts w:ascii="Microsoft Yahei" w:eastAsia="宋体" w:hAnsi="Microsoft Yahei" w:cs="宋体"/>
          <w:kern w:val="0"/>
          <w:szCs w:val="21"/>
        </w:rPr>
      </w:pPr>
      <w:r w:rsidRPr="00CA553A">
        <w:rPr>
          <w:rFonts w:ascii="Microsoft Yahei" w:eastAsia="宋体" w:hAnsi="Microsoft Yahei" w:cs="宋体"/>
          <w:kern w:val="0"/>
          <w:szCs w:val="21"/>
        </w:rPr>
        <w:t>2005</w:t>
      </w:r>
      <w:r w:rsidRPr="00CA553A">
        <w:rPr>
          <w:rFonts w:ascii="Microsoft Yahei" w:eastAsia="宋体" w:hAnsi="Microsoft Yahei" w:cs="宋体"/>
          <w:kern w:val="0"/>
          <w:szCs w:val="21"/>
        </w:rPr>
        <w:t>年</w:t>
      </w:r>
      <w:r w:rsidRPr="00CA553A">
        <w:rPr>
          <w:rFonts w:ascii="Microsoft Yahei" w:eastAsia="宋体" w:hAnsi="Microsoft Yahei" w:cs="宋体"/>
          <w:kern w:val="0"/>
          <w:szCs w:val="21"/>
        </w:rPr>
        <w:t>8</w:t>
      </w:r>
      <w:r w:rsidRPr="00CA553A">
        <w:rPr>
          <w:rFonts w:ascii="Microsoft Yahei" w:eastAsia="宋体" w:hAnsi="Microsoft Yahei" w:cs="宋体"/>
          <w:kern w:val="0"/>
          <w:szCs w:val="21"/>
        </w:rPr>
        <w:t>月</w:t>
      </w:r>
      <w:r w:rsidRPr="00CA553A">
        <w:rPr>
          <w:rFonts w:ascii="Microsoft Yahei" w:eastAsia="宋体" w:hAnsi="Microsoft Yahei" w:cs="宋体"/>
          <w:kern w:val="0"/>
          <w:szCs w:val="21"/>
        </w:rPr>
        <w:t>31</w:t>
      </w:r>
      <w:r w:rsidRPr="00CA553A">
        <w:rPr>
          <w:rFonts w:ascii="Microsoft Yahei" w:eastAsia="宋体" w:hAnsi="Microsoft Yahei" w:cs="宋体"/>
          <w:kern w:val="0"/>
          <w:szCs w:val="21"/>
        </w:rPr>
        <w:t>日中华人民共和国国务院令第</w:t>
      </w:r>
      <w:r w:rsidRPr="00CA553A">
        <w:rPr>
          <w:rFonts w:ascii="Microsoft Yahei" w:eastAsia="宋体" w:hAnsi="Microsoft Yahei" w:cs="宋体"/>
          <w:kern w:val="0"/>
          <w:szCs w:val="21"/>
        </w:rPr>
        <w:t>447</w:t>
      </w:r>
      <w:r w:rsidRPr="00CA553A">
        <w:rPr>
          <w:rFonts w:ascii="Microsoft Yahei" w:eastAsia="宋体" w:hAnsi="Microsoft Yahei" w:cs="宋体"/>
          <w:kern w:val="0"/>
          <w:szCs w:val="21"/>
        </w:rPr>
        <w:t>号公布　根据</w:t>
      </w:r>
      <w:r w:rsidRPr="00CA553A">
        <w:rPr>
          <w:rFonts w:ascii="Microsoft Yahei" w:eastAsia="宋体" w:hAnsi="Microsoft Yahei" w:cs="宋体"/>
          <w:kern w:val="0"/>
          <w:szCs w:val="21"/>
        </w:rPr>
        <w:t>2013</w:t>
      </w:r>
      <w:r w:rsidRPr="00CA553A">
        <w:rPr>
          <w:rFonts w:ascii="Microsoft Yahei" w:eastAsia="宋体" w:hAnsi="Microsoft Yahei" w:cs="宋体"/>
          <w:kern w:val="0"/>
          <w:szCs w:val="21"/>
        </w:rPr>
        <w:t>年</w:t>
      </w:r>
      <w:r w:rsidRPr="00CA553A">
        <w:rPr>
          <w:rFonts w:ascii="Microsoft Yahei" w:eastAsia="宋体" w:hAnsi="Microsoft Yahei" w:cs="宋体"/>
          <w:kern w:val="0"/>
          <w:szCs w:val="21"/>
        </w:rPr>
        <w:t>7</w:t>
      </w:r>
      <w:r w:rsidRPr="00CA553A">
        <w:rPr>
          <w:rFonts w:ascii="Microsoft Yahei" w:eastAsia="宋体" w:hAnsi="Microsoft Yahei" w:cs="宋体"/>
          <w:kern w:val="0"/>
          <w:szCs w:val="21"/>
        </w:rPr>
        <w:t>月</w:t>
      </w:r>
      <w:r w:rsidRPr="00CA553A">
        <w:rPr>
          <w:rFonts w:ascii="Microsoft Yahei" w:eastAsia="宋体" w:hAnsi="Microsoft Yahei" w:cs="宋体"/>
          <w:kern w:val="0"/>
          <w:szCs w:val="21"/>
        </w:rPr>
        <w:t>18</w:t>
      </w:r>
      <w:r w:rsidRPr="00CA553A">
        <w:rPr>
          <w:rFonts w:ascii="Microsoft Yahei" w:eastAsia="宋体" w:hAnsi="Microsoft Yahei" w:cs="宋体"/>
          <w:kern w:val="0"/>
          <w:szCs w:val="21"/>
        </w:rPr>
        <w:t>日《国务院关于废止和修改部分行政法规的决定》第一次修订　根据</w:t>
      </w:r>
      <w:r w:rsidRPr="00CA553A">
        <w:rPr>
          <w:rFonts w:ascii="Microsoft Yahei" w:eastAsia="宋体" w:hAnsi="Microsoft Yahei" w:cs="宋体"/>
          <w:kern w:val="0"/>
          <w:szCs w:val="21"/>
        </w:rPr>
        <w:t>2016</w:t>
      </w:r>
      <w:r w:rsidRPr="00CA553A">
        <w:rPr>
          <w:rFonts w:ascii="Microsoft Yahei" w:eastAsia="宋体" w:hAnsi="Microsoft Yahei" w:cs="宋体"/>
          <w:kern w:val="0"/>
          <w:szCs w:val="21"/>
        </w:rPr>
        <w:t>年</w:t>
      </w:r>
      <w:r w:rsidRPr="00CA553A">
        <w:rPr>
          <w:rFonts w:ascii="Microsoft Yahei" w:eastAsia="宋体" w:hAnsi="Microsoft Yahei" w:cs="宋体"/>
          <w:kern w:val="0"/>
          <w:szCs w:val="21"/>
        </w:rPr>
        <w:t>2</w:t>
      </w:r>
      <w:r w:rsidRPr="00CA553A">
        <w:rPr>
          <w:rFonts w:ascii="Microsoft Yahei" w:eastAsia="宋体" w:hAnsi="Microsoft Yahei" w:cs="宋体"/>
          <w:kern w:val="0"/>
          <w:szCs w:val="21"/>
        </w:rPr>
        <w:t>月</w:t>
      </w:r>
      <w:r w:rsidRPr="00CA553A">
        <w:rPr>
          <w:rFonts w:ascii="Microsoft Yahei" w:eastAsia="宋体" w:hAnsi="Microsoft Yahei" w:cs="宋体"/>
          <w:kern w:val="0"/>
          <w:szCs w:val="21"/>
        </w:rPr>
        <w:t>6</w:t>
      </w:r>
      <w:r w:rsidRPr="00CA553A">
        <w:rPr>
          <w:rFonts w:ascii="Microsoft Yahei" w:eastAsia="宋体" w:hAnsi="Microsoft Yahei" w:cs="宋体"/>
          <w:kern w:val="0"/>
          <w:szCs w:val="21"/>
        </w:rPr>
        <w:t>日《国务院关于修改部分行政法规的决定》第二次修订　根据</w:t>
      </w:r>
      <w:r w:rsidRPr="00CA553A">
        <w:rPr>
          <w:rFonts w:ascii="Microsoft Yahei" w:eastAsia="宋体" w:hAnsi="Microsoft Yahei" w:cs="宋体"/>
          <w:kern w:val="0"/>
          <w:szCs w:val="21"/>
        </w:rPr>
        <w:t>2017</w:t>
      </w:r>
      <w:r w:rsidRPr="00CA553A">
        <w:rPr>
          <w:rFonts w:ascii="Microsoft Yahei" w:eastAsia="宋体" w:hAnsi="Microsoft Yahei" w:cs="宋体"/>
          <w:kern w:val="0"/>
          <w:szCs w:val="21"/>
        </w:rPr>
        <w:t>年</w:t>
      </w:r>
      <w:r w:rsidRPr="00CA553A">
        <w:rPr>
          <w:rFonts w:ascii="Microsoft Yahei" w:eastAsia="宋体" w:hAnsi="Microsoft Yahei" w:cs="宋体"/>
          <w:kern w:val="0"/>
          <w:szCs w:val="21"/>
        </w:rPr>
        <w:t>3</w:t>
      </w:r>
      <w:r w:rsidRPr="00CA553A">
        <w:rPr>
          <w:rFonts w:ascii="Microsoft Yahei" w:eastAsia="宋体" w:hAnsi="Microsoft Yahei" w:cs="宋体"/>
          <w:kern w:val="0"/>
          <w:szCs w:val="21"/>
        </w:rPr>
        <w:t>月</w:t>
      </w:r>
      <w:r w:rsidRPr="00CA553A">
        <w:rPr>
          <w:rFonts w:ascii="Microsoft Yahei" w:eastAsia="宋体" w:hAnsi="Microsoft Yahei" w:cs="宋体"/>
          <w:kern w:val="0"/>
          <w:szCs w:val="21"/>
        </w:rPr>
        <w:t>1</w:t>
      </w:r>
      <w:r w:rsidRPr="00CA553A">
        <w:rPr>
          <w:rFonts w:ascii="Microsoft Yahei" w:eastAsia="宋体" w:hAnsi="Microsoft Yahei" w:cs="宋体"/>
          <w:kern w:val="0"/>
          <w:szCs w:val="21"/>
        </w:rPr>
        <w:t>日《国务院关于修改和废止部分行政法规的决定》第三次修订</w:t>
      </w:r>
      <w:r w:rsidRPr="00CA553A">
        <w:rPr>
          <w:rFonts w:ascii="Microsoft Yahei" w:eastAsia="宋体" w:hAnsi="Microsoft Yahei" w:cs="宋体"/>
          <w:kern w:val="0"/>
          <w:szCs w:val="21"/>
        </w:rPr>
        <w:t xml:space="preserve"> </w:t>
      </w:r>
      <w:r w:rsidRPr="00CA553A">
        <w:rPr>
          <w:rFonts w:ascii="Microsoft Yahei" w:eastAsia="宋体" w:hAnsi="Microsoft Yahei" w:cs="宋体"/>
          <w:kern w:val="0"/>
          <w:szCs w:val="21"/>
        </w:rPr>
        <w:t>根据</w:t>
      </w:r>
      <w:r w:rsidRPr="00CA553A">
        <w:rPr>
          <w:rFonts w:ascii="Microsoft Yahei" w:eastAsia="宋体" w:hAnsi="Microsoft Yahei" w:cs="宋体"/>
          <w:kern w:val="0"/>
          <w:szCs w:val="21"/>
        </w:rPr>
        <w:t>2019</w:t>
      </w:r>
      <w:r w:rsidRPr="00CA553A">
        <w:rPr>
          <w:rFonts w:ascii="Microsoft Yahei" w:eastAsia="宋体" w:hAnsi="Microsoft Yahei" w:cs="宋体"/>
          <w:kern w:val="0"/>
          <w:szCs w:val="21"/>
        </w:rPr>
        <w:t>年</w:t>
      </w:r>
      <w:r w:rsidRPr="00CA553A">
        <w:rPr>
          <w:rFonts w:ascii="Microsoft Yahei" w:eastAsia="宋体" w:hAnsi="Microsoft Yahei" w:cs="宋体"/>
          <w:kern w:val="0"/>
          <w:szCs w:val="21"/>
        </w:rPr>
        <w:t>3</w:t>
      </w:r>
      <w:r w:rsidRPr="00CA553A">
        <w:rPr>
          <w:rFonts w:ascii="Microsoft Yahei" w:eastAsia="宋体" w:hAnsi="Microsoft Yahei" w:cs="宋体"/>
          <w:kern w:val="0"/>
          <w:szCs w:val="21"/>
        </w:rPr>
        <w:t>月</w:t>
      </w:r>
      <w:r w:rsidRPr="00CA553A">
        <w:rPr>
          <w:rFonts w:ascii="Microsoft Yahei" w:eastAsia="宋体" w:hAnsi="Microsoft Yahei" w:cs="宋体"/>
          <w:kern w:val="0"/>
          <w:szCs w:val="21"/>
        </w:rPr>
        <w:t>2</w:t>
      </w:r>
      <w:r w:rsidRPr="00CA553A">
        <w:rPr>
          <w:rFonts w:ascii="Microsoft Yahei" w:eastAsia="宋体" w:hAnsi="Microsoft Yahei" w:cs="宋体"/>
          <w:kern w:val="0"/>
          <w:szCs w:val="21"/>
        </w:rPr>
        <w:t>日《国务院关于修改和废止部分行政法规的决定》第四次修订。</w:t>
      </w:r>
      <w:r w:rsidRPr="00CA553A">
        <w:rPr>
          <w:rFonts w:ascii="Microsoft Yahei" w:eastAsia="宋体" w:hAnsi="Microsoft Yahei" w:cs="宋体"/>
          <w:kern w:val="0"/>
          <w:szCs w:val="21"/>
        </w:rPr>
        <w:t xml:space="preserve"> </w:t>
      </w:r>
    </w:p>
    <w:p w:rsidR="00CA553A" w:rsidRPr="00CA553A" w:rsidRDefault="00CA553A" w:rsidP="00CA553A">
      <w:pPr>
        <w:widowControl/>
        <w:spacing w:before="100" w:beforeAutospacing="1" w:after="100" w:afterAutospacing="1"/>
        <w:jc w:val="left"/>
        <w:rPr>
          <w:rFonts w:ascii="宋体" w:eastAsia="宋体" w:hAnsi="宋体" w:cs="宋体"/>
          <w:kern w:val="0"/>
          <w:sz w:val="24"/>
          <w:szCs w:val="24"/>
        </w:rPr>
      </w:pPr>
      <w:r w:rsidRPr="00CA553A">
        <w:rPr>
          <w:rFonts w:ascii="宋体" w:eastAsia="宋体" w:hAnsi="宋体" w:cs="宋体" w:hint="eastAsia"/>
          <w:kern w:val="0"/>
          <w:sz w:val="24"/>
          <w:szCs w:val="24"/>
        </w:rPr>
        <w:t xml:space="preserve">　　第一章　总　　则</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第一条　根据《中华人民共和国进出口商品检验法》（以下简称商检法）的规定，制定本条例。</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第二条　海关总署主管全国进出口商品检验工作。</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海关总署设在省、自治区、直辖市以及进出口商品的口岸、集散地的出入境检验检疫机构，管理所负责地区的进出口商品检验工作。</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第三条　海关总署应当依照商检法第四条规定，制定、调整必须实施检验的进出口商品目录（以下简称目录）并公布实施。</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目录应当至少在实施之日30日前公布；在紧急情况下，应当不迟于实施之日公布。</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海关总署制定、调整目录时，应当征求国务院对外贸易主管部门等有关方面的意见。</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第四条　出入境检验检疫机构对列入目录的进出口商品以及法律、行政法规规定须经出入境检验检疫机构检验的其他进出口商品实施检验（以下称法定检验）。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出入境检验检疫机构对法定检验以外的进出口商品，根据国家规定实施抽查检验。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第五条　进出口药品的质量检验、计量器具的量值检定、锅炉压力容器的安全监督检验、船舶（包括海上平台、主要船用设备及材料）和集装箱的规范检验、飞机（包括飞机发动机、机载设备）的适航检验以及核承压设备的安全检验等项目，由有关法律、行政法规规定的机构实施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第六条　进出境的样品、礼品、暂时进出境的货物以及其他非贸易性物品，免予检验。但是，法律、行政法规另有规定的除外。</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列入目录的进出口商品符合国家规定的免予检验条件的，由收货人、发货人或者生产企业申请，经海关总署审查批准，出入境检验检疫机构免予检验。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lastRenderedPageBreak/>
        <w:t xml:space="preserve">　　免予检验的具体办法，由海关总署商有关部门制定。</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第七条　法定检验的进出口商品，由出入境检验检疫机构依照商检法第七条规定实施检验。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海关总署根据进出口商品检验工作的实际需要和国际标准，可以制定进出口商品检验方法的技术规范和标准。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进出口商品检验依照或者参照的技术规范、标准以及检验方法的技术规范和标准，应当至少在实施之日6个月前公布；在紧急情况下，应当不迟于实施之日公布。</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第八条　出入境检验检疫机构根据便利对外贸易的需要，对进出口企业实施分类管理，并按照根据国际通行的合格评定程序确定的检验监管方式，对进出口商品实施检验。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第九条　出入境检验检疫机构对进出口商品实施检验的内容，包括是否符合安全、卫生、健康、环境保护、防止欺诈等要求以及相关的品质、数量、重量等项目。</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第十条　出入境检验检疫机构依照商检法的规定，对实施许可制度和国家规定必须经过认证的进出口商品实行验证管理，查验单证，</w:t>
      </w:r>
      <w:proofErr w:type="gramStart"/>
      <w:r w:rsidRPr="00CA553A">
        <w:rPr>
          <w:rFonts w:ascii="宋体" w:eastAsia="宋体" w:hAnsi="宋体" w:cs="宋体" w:hint="eastAsia"/>
          <w:kern w:val="0"/>
          <w:sz w:val="24"/>
          <w:szCs w:val="24"/>
        </w:rPr>
        <w:t>核对证货</w:t>
      </w:r>
      <w:proofErr w:type="gramEnd"/>
      <w:r w:rsidRPr="00CA553A">
        <w:rPr>
          <w:rFonts w:ascii="宋体" w:eastAsia="宋体" w:hAnsi="宋体" w:cs="宋体" w:hint="eastAsia"/>
          <w:kern w:val="0"/>
          <w:sz w:val="24"/>
          <w:szCs w:val="24"/>
        </w:rPr>
        <w:t>是否相符。</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实行验证管理的进出口商品目录，由海关总署商有关部门后制定、调整并公布。</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第十一条　进出口商品的收货人或者发货人可以自行办理报检手续，也可以委托代理报检企业办理报检手续；采用快件方式进出口商品的，收货人或者发货人应当委托出入境快件运营企业办理报检手续。</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第十二条　进出口商品的收货人或者发货人办理报检手续，应当依法向出入境检验检疫机构备案。</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第十三条　代理报检企业接受进出口商品的收货人或者发货人的委托，以委托人的名义办理报检手续的，应当向出入境检验检疫机构提交授权委托书，遵守本条例对委托人的各项规定；以自己的名义办理报检手续的，应当承担与收货人或者发货人相同的法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出入境快件运营企业接受进出口商品的收货人或者发货人的委托，应当以自己的名义办理报检手续，承担与收货人或者发货人相同的法律责任。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委托人委托代理报检企业、出入境快件运营企业办理报检手续的，应当向代理报检企业、出入境快件运营企业提供所委托报检事项的真实情况；代理报检企业、出入境快件运营企业接受委托人的委托办理报检手续的，应当对委托人所提供情况的真实性进行合理审查。</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lastRenderedPageBreak/>
        <w:t xml:space="preserve">　　第十四条　海关总署建立进出口商品风险预警机制，通过收集进出口商品检验方面的信息，进行风险评估，确定风险的类型，采取相应的风险预警措施及快速反应措施。</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海关总署和出入境检验检疫机构应当及时向有关方面提供进出口商品检验方面的信息。</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第十五条　出入境检验检疫机构工作人员依法执行职务，有关单位和个人应当予以配合，任何单位和个人不得非法干预和阻挠。</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第二章　进口商品的检验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第十六条　法定检验的进口商品的收货人应当持合同、发票、装箱单、提单等必要的凭证和相关批准文件，向报关地的出入境检验检疫机构报检；通关放行后20日内，收货人应当依照本条例第十八条的规定，向出入境检验检疫机构申请检验。法定检验的进口商品未经检验的，不准销售，不准使用。</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进口实行验证管理的商品，收货人应当向报关地的出入境检验检疫机构申请验证。出入境检验检疫机构按照海关总署的规定实施验证。</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第十七条　法定检验的进口商品、实行验证管理的进口商品，海关按照规定办理海关通关手续。</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第十八条　法定检验的进口商品应当在收货人报检时申报的目的地检验。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大宗散装商品、易腐烂变质商品、可用作原料的固体废物以及已发生残损、短缺的商品，应当在卸货口岸检验。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对前两款规定的进口商品，海关总署可以根据便利对外贸易和进出口商品检验工作的需要，指定在其他地点检验。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第十九条　除法律、行政法规另有规定外，法定检验的进口商品经检验，涉及人身财产安全、健康、环境保护项目不合格的，由出入境检验检疫机构责令当事人销毁，或者出具退货处理通知单，办理退运手续；其他项目不合格的，可以在出入境检验检疫机构的监督下进行技术处理，经重新检验合格的，方可销售或者使用。当事人申请出入境检验检疫机构出证的，出入境检验检疫机构应当及时出证。</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出入境检验检疫机构对检验不合格的进口成套设备及其材料，签发不准安装使用通知书。经技术处理，并经出入境检验检疫机构重新检验合格的，方可安装使用。</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第二十条　法定检验以外的进口商品，经出入境检验检疫机构抽查检验不合格的，依照本条例第十九条的规定处理。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lastRenderedPageBreak/>
        <w:t xml:space="preserve">　　实行验证管理的进口商品，经出入境检验检疫机构验证不合格的，参照本条例第十九条的规定处理或者移交有关部门处理。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法定检验以外的进口商品的收货人，发现进口商品质量不合格或者残损、短缺，申请出证的，出入境检验检疫机构或者其他检验机构应当在检验后及时出证。</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第二十一条　对属于法定检验范围内的关系国计民生、价值较高、技术复杂的以及其他重要的进口商品和大型成套设备，应当按照对外贸易合同约定监造、装运前检验或者监装。收货人保留到货后最终检验和索赔的权利。</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出入境检验检疫机构可以根据需要派出检验人员参加或者组织实施监造、装运前检验或者监装。</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第二十二条　国家对进口可用作原料的固体废物的国外供货商、国内收货人实行注册登记制度，国外供货商、国内收货人在签订对外贸易合同前，应当取得海关总署或者出入境检验检疫机构的注册登记。国家对进口可用作原料的固体废物实行装运前检验制度，进口时，收货人应当提供出入境检验检疫机构或者检验机构出具的装运前检验证书。</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对价值较高，涉及人身财产安全、健康、环境保护项目的高风险进口旧机电产品，应当依照国家有关规定实施装运前检验，进口时，收货人应当提供出入境检验检疫机构或者检验机构出具的装运前检验证书。</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进口可用作原料的固体废物、国家允许进口的旧机电产品到货后，由出入境检验检疫机构依法实施检验。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第二十三条　进口机动车辆到货后，收货人凭出入境检验检疫机构签发的进口机动车辆检验证单以及有关部门签发的其他单证向车辆管理机关申领行车牌证。在使用过程中发现有涉及人身财产安全的质量缺陷的，出入境检验检疫机构应当及时</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相应处理。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第三章　出口商品的检验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第二十四条　法定检验的出口商品的发货人应当在海关总署统一规定的地点和期限内，持合同等必要的凭证和相关批准文件向出入境检验检疫机构报检。法定检验的出口商品未经检验或者经检验不合格的，不准出口。</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出口商品应当在商品的生产地检验。海关总署可以根据便利对外贸易和进出口商品检验工作的需要，指定在其他地点检验。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出口实行验证管理的商品，发货人应当向出入境检验检疫机构申请验证。出入境检验检疫机构按照海关总署的规定实施验证。</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第二十五条　在商品生产地检验的出口商品需要在口岸换证出口的，由商品生产地的出入境检验检疫机构按照规定签发检验换证凭单。发货人应当在规定的</w:t>
      </w:r>
      <w:r w:rsidRPr="00CA553A">
        <w:rPr>
          <w:rFonts w:ascii="宋体" w:eastAsia="宋体" w:hAnsi="宋体" w:cs="宋体" w:hint="eastAsia"/>
          <w:kern w:val="0"/>
          <w:sz w:val="24"/>
          <w:szCs w:val="24"/>
        </w:rPr>
        <w:lastRenderedPageBreak/>
        <w:t>期限内持检验换证凭单和必要的凭证，向口岸出入境检验检疫机构申请查验。经查验合格的，由口岸出入境检验检疫机构签发货物通关单。</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第二十六条　法定检验的出口商品、实行验证管理的出口商品，海关</w:t>
      </w:r>
      <w:proofErr w:type="gramStart"/>
      <w:r w:rsidRPr="00CA553A">
        <w:rPr>
          <w:rFonts w:ascii="宋体" w:eastAsia="宋体" w:hAnsi="宋体" w:cs="宋体" w:hint="eastAsia"/>
          <w:kern w:val="0"/>
          <w:sz w:val="24"/>
          <w:szCs w:val="24"/>
        </w:rPr>
        <w:t>凭按照</w:t>
      </w:r>
      <w:proofErr w:type="gramEnd"/>
      <w:r w:rsidRPr="00CA553A">
        <w:rPr>
          <w:rFonts w:ascii="宋体" w:eastAsia="宋体" w:hAnsi="宋体" w:cs="宋体" w:hint="eastAsia"/>
          <w:kern w:val="0"/>
          <w:sz w:val="24"/>
          <w:szCs w:val="24"/>
        </w:rPr>
        <w:t>规定办理海关通关手续。</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第二十七条　法定检验的出口商品经出入境检验检疫机构检验或者经口岸出入境检验检疫机构查验不合格的，可以在出入境检验检疫机构的监督下进行技术处理，经重新检验合格的，方准出口；不能进行技术处理或者技术处理后重新检验仍不合格的，不准出口。</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第二十八条　法定检验以外的出口商品，经出入境检验检疫机构抽查检验不合格的，依照本条例第二十七条的规定处理。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实行验证管理的出口商品，经出入境检验检疫机构验证不合格的，参照本条例第二十七条的规定处理或者移交有关部门处理。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第二十九条　出口危险货物包装容器的生产企业，应当向出入境检验检疫机构申请包装容器的性能鉴定。包装容器经出入境检验检疫机构鉴定合格并取得性能鉴定证书的，方可用于包装危险货物。</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出口危险货物的生产企业，应当向出入境检验检疫机构申请危险货物包装容器的使用鉴定。使用未经鉴定或者经鉴定不合格的包装容器的危险货物，不准出口。</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第三十条　对装运出口的易腐烂变质食品、冷冻品的集装箱、船舱、飞机、车辆等运载工具，承运人、装箱单位或者其代理人应当在装运前向出入境检验检疫机构申请清洁、卫生、冷藏、密固</w:t>
      </w:r>
      <w:proofErr w:type="gramStart"/>
      <w:r w:rsidRPr="00CA553A">
        <w:rPr>
          <w:rFonts w:ascii="宋体" w:eastAsia="宋体" w:hAnsi="宋体" w:cs="宋体" w:hint="eastAsia"/>
          <w:kern w:val="0"/>
          <w:sz w:val="24"/>
          <w:szCs w:val="24"/>
        </w:rPr>
        <w:t>等适载检验</w:t>
      </w:r>
      <w:proofErr w:type="gramEnd"/>
      <w:r w:rsidRPr="00CA553A">
        <w:rPr>
          <w:rFonts w:ascii="宋体" w:eastAsia="宋体" w:hAnsi="宋体" w:cs="宋体" w:hint="eastAsia"/>
          <w:kern w:val="0"/>
          <w:sz w:val="24"/>
          <w:szCs w:val="24"/>
        </w:rPr>
        <w:t>。未经检验或者经检验不合格的，不准装运。</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第四章　监督管理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第三十一条　出入境检验检疫机构根据便利对外贸易的需要，可以对列入目录的出口商品进行出厂前的质量监督管理和检验。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出入境检验检疫机构进行出厂前的质量监督管理和检验的内容，包括对生产企业的质量保证工作进行监督检查，对出口商品进行出厂前的检验。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第三十二条　国家对进出口食品生产企业实施卫生注册登记管理。获得卫生注册登记的出口食品生产企业，方可生产、加工、储存出口食品。获得卫生注册登记的进出口食品生产企业生产的食品，方可进口或者出口。</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实施卫生注册登记管理的进口食品生产企业，应当按照规定向海关总署申请卫生注册登记。</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lastRenderedPageBreak/>
        <w:t xml:space="preserve">　　实施卫生注册登记管理的出口食品生产企业，应当按照规定向出入境检验检疫机构申请卫生注册登记。</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出口食品生产企业需要在国外卫生注册的，依照本条第三款规定进行卫生注册登记后，由海关总署统一对外办理。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第三十三条　出入境检验检疫机构根据需要，对检验合格的进出口商品加施商检标志，对检验合格的以及其他需要加施封识的进出口商品加施封识。具体办法由海关总署制定。</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第三十四条　出入境检验检疫机构按照有关规定对检验的进出口商品抽取样品。</w:t>
      </w:r>
      <w:proofErr w:type="gramStart"/>
      <w:r w:rsidRPr="00CA553A">
        <w:rPr>
          <w:rFonts w:ascii="宋体" w:eastAsia="宋体" w:hAnsi="宋体" w:cs="宋体" w:hint="eastAsia"/>
          <w:kern w:val="0"/>
          <w:sz w:val="24"/>
          <w:szCs w:val="24"/>
        </w:rPr>
        <w:t>验余的</w:t>
      </w:r>
      <w:proofErr w:type="gramEnd"/>
      <w:r w:rsidRPr="00CA553A">
        <w:rPr>
          <w:rFonts w:ascii="宋体" w:eastAsia="宋体" w:hAnsi="宋体" w:cs="宋体" w:hint="eastAsia"/>
          <w:kern w:val="0"/>
          <w:sz w:val="24"/>
          <w:szCs w:val="24"/>
        </w:rPr>
        <w:t>样品，出入境检验检疫机构应当通知有关单位在规定的期限内领回；逾期不领回的，由出入境检验检疫机构处理。</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第三十五条　进出口商品的报检人对出入境检验检疫机构</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的检验结果有异议的，可以自收到检验结果之日起15日内，向</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检验结果的出入境检验检疫机构或者其上级出入境检验检疫机构以至海关总署申请复验，受理复验的出入境检验检疫机构或者海关总署应当自收到复验申请之日起60日内</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复验结论。技术复杂，不能在规定期限内</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复验结论的，经本机构负责人批准，可以适当延长，但是延长期限最多不超过30日。</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第三十六条　海关总署或者出入境检验检疫机构根据进出口商品检验工作的需要，可以指定符合规定资质条件的国内外检测机构承担出入境检验检疫机构委托的进出口商品检测。被指定的检测机构经检查不符合规定要求的，海关总署或者出入境检验检疫机构可以取消指定。</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第三十七条　在中华人民共和国境内设立从事进出口商品检验鉴定业务的检验机构，应当依法办理工商登记，并符合有关法律、行政法规、规章规定的注册资本、技术能力等条件，经海关总署和有关主管部门审核批准，获得许可，方可接受委托办理进出口商品检验鉴定业务。</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第三十八条　对检验机构的检验鉴定业务活动有异议的，可以向海关总署或者出入境检验检疫机构投诉。</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第三十九条　海关总署、出入境检验检疫机构实施监督管理或者对涉嫌违反进出口商品检验法律、行政法规的行为进行调查，有权查阅、复制当事人的有关合同、发票、账簿以及其他有关资料。出入境检验检疫机构对有根据认为涉及人身财产安全、健康、环境保护项目不合格的进出口商品，经本机构负责人批准，可以查封或者扣押。</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第四十条　海关总署、出入境检验检疫机构应当根据便利对外贸易的需要，采取有效措施，简化程序，方便进出口。</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办理进出口商品报检、检验、鉴定等手续，符合条件的，可以采用电子数据文件的形式。</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lastRenderedPageBreak/>
        <w:t xml:space="preserve">　　第四十一条　出入境检验检疫机构依照有关法律、行政法规的规定，签发出口货物普惠制原产地证明、区域性优惠原产地证明、专用原产地证明。</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出口货物一般原产地证明的签发，依照有关法律、行政法规的规定执行。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第四十二条　出入境检验检疫机构对进出保税区、出口加工区等海关特殊监管区域的货物以及边境小额贸易进出口商品的检验管理，由海关总署另行制定办法。</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第五章　法律责任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第四十三条　擅自销售、使用未报检或者未经检验的属于法定检验的进口商品，或者擅自销售、使用应当申请进口验证而未申请的进口商品的，由出入境检验检疫机构没收违法所得，并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货值金额5%以上20%以下罚款；构成犯罪的，依法追究刑事责任。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第四十四条　擅自出口未报检或者未经检验的属于法定检验的出口商品，或者擅自出口应当申请出口验证而未申请的出口商品的，由出入境检验检疫机构没收违法所得，并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货值金额5%以上20%以下罚款；构成犯罪的，依法追究刑事责任。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第四十五条　销售、使用经法定检验、抽查检验或者验证不合格的进口商品，或者出口经法定检验、抽查检验或者验证不合格的商品的，由出入境检验检疫机构责令停止销售、使用或者出口，没收违法所得和违法销售、使用或者出口的商品，并处违法销售、使用或者出口的商品货值金额等值以上3倍以下罚款；构成犯罪的，依法追究刑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第四十六条　进出口商品的收货人、发货人、代理报检企业或者出入境快件运营企业、报检人员</w:t>
      </w:r>
      <w:proofErr w:type="gramStart"/>
      <w:r w:rsidRPr="00CA553A">
        <w:rPr>
          <w:rFonts w:ascii="宋体" w:eastAsia="宋体" w:hAnsi="宋体" w:cs="宋体" w:hint="eastAsia"/>
          <w:kern w:val="0"/>
          <w:sz w:val="24"/>
          <w:szCs w:val="24"/>
        </w:rPr>
        <w:t>不</w:t>
      </w:r>
      <w:proofErr w:type="gramEnd"/>
      <w:r w:rsidRPr="00CA553A">
        <w:rPr>
          <w:rFonts w:ascii="宋体" w:eastAsia="宋体" w:hAnsi="宋体" w:cs="宋体" w:hint="eastAsia"/>
          <w:kern w:val="0"/>
          <w:sz w:val="24"/>
          <w:szCs w:val="24"/>
        </w:rPr>
        <w:t>如实提供进出口商品的真实情况，取得出入境检验检疫机构的有关证单，或者对法定检验的进出口商品</w:t>
      </w:r>
      <w:proofErr w:type="gramStart"/>
      <w:r w:rsidRPr="00CA553A">
        <w:rPr>
          <w:rFonts w:ascii="宋体" w:eastAsia="宋体" w:hAnsi="宋体" w:cs="宋体" w:hint="eastAsia"/>
          <w:kern w:val="0"/>
          <w:sz w:val="24"/>
          <w:szCs w:val="24"/>
        </w:rPr>
        <w:t>不予报</w:t>
      </w:r>
      <w:proofErr w:type="gramEnd"/>
      <w:r w:rsidRPr="00CA553A">
        <w:rPr>
          <w:rFonts w:ascii="宋体" w:eastAsia="宋体" w:hAnsi="宋体" w:cs="宋体" w:hint="eastAsia"/>
          <w:kern w:val="0"/>
          <w:sz w:val="24"/>
          <w:szCs w:val="24"/>
        </w:rPr>
        <w:t>检，逃避进出口商品检验的，由出入境检验检疫机构没收违法所得，并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货值金额5%以上20%以下罚款。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进出口商品的收货人或者发货人委托代理报检企业、出入境快件运营企业办理报检手续，未按照规定向代理报检企业、出入境快件运营企业提供所委托报检事项的真实情况，取得出入境检验检疫机构的有关证单的，对委托人依照前款规定予以处罚。</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代理报检企业、出入境快件运营企业、报检人员对委托人所提供情况的真实性未进行合理审查或者因工作疏忽，导致骗取出入境检验检疫机构有关证单的结果的，由出入境检验检疫机构对代理报检企业、出入境快件运营企业处2万元以上20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第四十七条　伪造、变造、买卖或者盗窃检验证单、印章、标志、封识、货物通关单或者使用伪造、变造的检验证单、印章、标志、封识、货物通关单，构</w:t>
      </w:r>
      <w:r w:rsidRPr="00CA553A">
        <w:rPr>
          <w:rFonts w:ascii="宋体" w:eastAsia="宋体" w:hAnsi="宋体" w:cs="宋体" w:hint="eastAsia"/>
          <w:kern w:val="0"/>
          <w:sz w:val="24"/>
          <w:szCs w:val="24"/>
        </w:rPr>
        <w:lastRenderedPageBreak/>
        <w:t>成犯罪的，依法追究刑事责任；尚不够刑事处罚的，由出入境检验检疫机构责令改正，没收违法所得，并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货值金额等值以下罚款。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第四十八条　擅自调换出入境检验检疫机构抽取的样品或者出入境检验检疫机构检验合格的进出口商品的，由出入境检验检疫机构责令改正，给予警告；情节严重的，并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货值金额10%以上50%以下罚款。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第四十九条　进口或者出口国家实行卫生注册登记管理而未获得卫生注册登记的生产企业生产的食品的，由出入境检验检疫机构责令停止进口或者出口，没收违法所得，并</w:t>
      </w:r>
      <w:proofErr w:type="gramStart"/>
      <w:r w:rsidRPr="00CA553A">
        <w:rPr>
          <w:rFonts w:ascii="宋体" w:eastAsia="宋体" w:hAnsi="宋体" w:cs="宋体" w:hint="eastAsia"/>
          <w:kern w:val="0"/>
          <w:sz w:val="24"/>
          <w:szCs w:val="24"/>
        </w:rPr>
        <w:t>处商品</w:t>
      </w:r>
      <w:proofErr w:type="gramEnd"/>
      <w:r w:rsidRPr="00CA553A">
        <w:rPr>
          <w:rFonts w:ascii="宋体" w:eastAsia="宋体" w:hAnsi="宋体" w:cs="宋体" w:hint="eastAsia"/>
          <w:kern w:val="0"/>
          <w:sz w:val="24"/>
          <w:szCs w:val="24"/>
        </w:rPr>
        <w:t>货值金额10%以上50%以下罚款。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已获得卫生注册登记的进出口食品生产企业，经检查不符合规定要求的，由海关总署或者出入境检验检疫机构责令限期整改；整改仍未达到规定要求或者有其他违法行为，情节严重的，吊销其卫生注册登记证书。</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第五十条　进口可用作原料的固体废物，国外供货商、国内收货人未取得注册登记，或者未进行装运前检验的，按照国家有关规定责令退货；情节严重的，由出入境检验检疫机构并处10万元以上100万元以下罚款。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已获得注册登记的可用作原料的固体废物的国外供货商、国内收货人违反国家有关规定，情节严重的，由出入境检验检疫机构撤销其注册登记。</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进口国家允许进口的旧机电产品未按照规定进行装运前检验的，按照国家有关规定予以退货；情节严重的，由出入境检验检疫机构并处100万元以下罚款。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第五十一条　提供或者使用未经出入境检验检疫机构鉴定的出口危险货物包装容器的，由出入境检验检疫机构处10万元以下罚款。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提供或者使用经出入境检验检疫机构鉴定不合格的包装容器装运出口危险货物的，由出入境检验检疫机构处20万元以下罚款。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第五十二条　提供或者使用未经出入境检验检疫</w:t>
      </w:r>
      <w:proofErr w:type="gramStart"/>
      <w:r w:rsidRPr="00CA553A">
        <w:rPr>
          <w:rFonts w:ascii="宋体" w:eastAsia="宋体" w:hAnsi="宋体" w:cs="宋体" w:hint="eastAsia"/>
          <w:kern w:val="0"/>
          <w:sz w:val="24"/>
          <w:szCs w:val="24"/>
        </w:rPr>
        <w:t>机构适载检验</w:t>
      </w:r>
      <w:proofErr w:type="gramEnd"/>
      <w:r w:rsidRPr="00CA553A">
        <w:rPr>
          <w:rFonts w:ascii="宋体" w:eastAsia="宋体" w:hAnsi="宋体" w:cs="宋体" w:hint="eastAsia"/>
          <w:kern w:val="0"/>
          <w:sz w:val="24"/>
          <w:szCs w:val="24"/>
        </w:rPr>
        <w:t>的集装箱、船舱、飞机、车辆等运载工具装运易腐烂变质食品、冷冻品出口的，由出入境检验检疫机构处10万元以下罚款。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提供或者使用经出入境检验检疫机构检验不合格的集装箱、船舱、飞机、车辆等运载工具装运易腐烂变质食品、冷冻品出口的，由出入境检验检疫机构处20万元以下罚款。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第五十三条　擅自调换、损毁出入境检验检疫机构加施的商检标志、封识的，由出入境检验检疫机构处5万元以下罚款。</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第五十四条　从事进出口商品检验鉴定业务的检验机构超出其业务范围，或者违反国家有关规定，扰乱检验鉴定秩序的，由出入境检验检疫机构责令改正，没收违法所得，可以并处10万元以下罚款，海关总署或者出入境检验检疫机构</w:t>
      </w:r>
      <w:r w:rsidRPr="00CA553A">
        <w:rPr>
          <w:rFonts w:ascii="宋体" w:eastAsia="宋体" w:hAnsi="宋体" w:cs="宋体" w:hint="eastAsia"/>
          <w:kern w:val="0"/>
          <w:sz w:val="24"/>
          <w:szCs w:val="24"/>
        </w:rPr>
        <w:lastRenderedPageBreak/>
        <w:t>可以暂停其6个月以内检验鉴定业务；情节严重的，由海关总署吊销其检验鉴定资格证书。</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第五十五条　代理报检企业、出入境快件运营企业违反国家有关规定，扰乱报检秩序的，由出入境检验检疫机构责令改正，没收违法所得，可以处10万元以下罚款，海关总署或者出入境检验检疫机构可以暂停其6个月以内代理报检业务。</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第五十六条　出入境检验检疫机构的工作人员滥用职权，故意刁难当事人的，徇私舞弊，伪造检验结果的，或者玩忽职守，延误检验出证的，依法给予行政处分；违反有关法律、行政法规规定签发出口货物原产地证明的，依法给予行政处分，没收违法所得；构成犯罪的，依法追究刑事责任。</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第五十七条　出入境检验检疫机构对没收的商品依法予以处理所得价款、没收的违法所得、收缴的罚款，全部上缴国库。</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第六章　附　　则</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第五十八条　当事人对出入境检验检疫机构、海关总署</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的复验结论不服、处罚决定不服的，可以依法申请行政复议，也可以依法向人民法院提起诉讼。</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当事人逾期不履行处罚决定，又不申请行政复议或者向人民法院提起诉讼的，</w:t>
      </w:r>
      <w:proofErr w:type="gramStart"/>
      <w:r w:rsidRPr="00CA553A">
        <w:rPr>
          <w:rFonts w:ascii="宋体" w:eastAsia="宋体" w:hAnsi="宋体" w:cs="宋体" w:hint="eastAsia"/>
          <w:kern w:val="0"/>
          <w:sz w:val="24"/>
          <w:szCs w:val="24"/>
        </w:rPr>
        <w:t>作出</w:t>
      </w:r>
      <w:proofErr w:type="gramEnd"/>
      <w:r w:rsidRPr="00CA553A">
        <w:rPr>
          <w:rFonts w:ascii="宋体" w:eastAsia="宋体" w:hAnsi="宋体" w:cs="宋体" w:hint="eastAsia"/>
          <w:kern w:val="0"/>
          <w:sz w:val="24"/>
          <w:szCs w:val="24"/>
        </w:rPr>
        <w:t>处罚决定的机构可以申请人民法院强制执行。</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第五十九条　出入境检验检疫机构实施法定检验、经许可的检验机构办理检验鉴定业务，按照国家有关规定收取费用。</w:t>
      </w:r>
    </w:p>
    <w:p w:rsidR="00CA553A" w:rsidRPr="00CA553A" w:rsidRDefault="00CA553A" w:rsidP="00CA553A">
      <w:pPr>
        <w:widowControl/>
        <w:spacing w:before="100" w:beforeAutospacing="1" w:after="100" w:afterAutospacing="1"/>
        <w:jc w:val="left"/>
        <w:rPr>
          <w:rFonts w:ascii="宋体" w:eastAsia="宋体" w:hAnsi="宋体" w:cs="宋体" w:hint="eastAsia"/>
          <w:kern w:val="0"/>
          <w:sz w:val="24"/>
          <w:szCs w:val="24"/>
        </w:rPr>
      </w:pPr>
      <w:r w:rsidRPr="00CA553A">
        <w:rPr>
          <w:rFonts w:ascii="宋体" w:eastAsia="宋体" w:hAnsi="宋体" w:cs="宋体" w:hint="eastAsia"/>
          <w:kern w:val="0"/>
          <w:sz w:val="24"/>
          <w:szCs w:val="24"/>
        </w:rPr>
        <w:t xml:space="preserve">　　第六十条　本条例自2005年12月1日起施行。1992年10月7日国务院批准、1992年10月23日原国家进出口商品检验局发布的《中华人民共和国进出口商品检验法实施条例》同时废止。</w:t>
      </w:r>
    </w:p>
    <w:p w:rsidR="00397EE4" w:rsidRPr="00CA553A" w:rsidRDefault="00397EE4"/>
    <w:sectPr w:rsidR="00397EE4" w:rsidRPr="00CA553A" w:rsidSect="00397E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248B" w:rsidRDefault="003F248B" w:rsidP="00CA553A">
      <w:r>
        <w:separator/>
      </w:r>
    </w:p>
  </w:endnote>
  <w:endnote w:type="continuationSeparator" w:id="0">
    <w:p w:rsidR="003F248B" w:rsidRDefault="003F248B" w:rsidP="00CA553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248B" w:rsidRDefault="003F248B" w:rsidP="00CA553A">
      <w:r>
        <w:separator/>
      </w:r>
    </w:p>
  </w:footnote>
  <w:footnote w:type="continuationSeparator" w:id="0">
    <w:p w:rsidR="003F248B" w:rsidRDefault="003F248B" w:rsidP="00CA553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3"/>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A553A"/>
    <w:rsid w:val="00397EE4"/>
    <w:rsid w:val="003F248B"/>
    <w:rsid w:val="00CA55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EE4"/>
    <w:pPr>
      <w:widowControl w:val="0"/>
      <w:jc w:val="both"/>
    </w:pPr>
  </w:style>
  <w:style w:type="paragraph" w:styleId="2">
    <w:name w:val="heading 2"/>
    <w:basedOn w:val="a"/>
    <w:link w:val="2Char"/>
    <w:uiPriority w:val="9"/>
    <w:qFormat/>
    <w:rsid w:val="00CA553A"/>
    <w:pPr>
      <w:widowControl/>
      <w:jc w:val="left"/>
      <w:outlineLvl w:val="1"/>
    </w:pPr>
    <w:rPr>
      <w:rFonts w:ascii="Microsoft Yahei" w:eastAsia="宋体" w:hAnsi="Microsoft Yahei" w:cs="宋体"/>
      <w:b/>
      <w:bCs/>
      <w:kern w:val="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CA55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CA553A"/>
    <w:rPr>
      <w:sz w:val="18"/>
      <w:szCs w:val="18"/>
    </w:rPr>
  </w:style>
  <w:style w:type="paragraph" w:styleId="a4">
    <w:name w:val="footer"/>
    <w:basedOn w:val="a"/>
    <w:link w:val="Char0"/>
    <w:uiPriority w:val="99"/>
    <w:semiHidden/>
    <w:unhideWhenUsed/>
    <w:rsid w:val="00CA553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CA553A"/>
    <w:rPr>
      <w:sz w:val="18"/>
      <w:szCs w:val="18"/>
    </w:rPr>
  </w:style>
  <w:style w:type="character" w:customStyle="1" w:styleId="2Char">
    <w:name w:val="标题 2 Char"/>
    <w:basedOn w:val="a0"/>
    <w:link w:val="2"/>
    <w:uiPriority w:val="9"/>
    <w:rsid w:val="00CA553A"/>
    <w:rPr>
      <w:rFonts w:ascii="Microsoft Yahei" w:eastAsia="宋体" w:hAnsi="Microsoft Yahei" w:cs="宋体"/>
      <w:b/>
      <w:bCs/>
      <w:kern w:val="0"/>
      <w:sz w:val="16"/>
      <w:szCs w:val="16"/>
    </w:rPr>
  </w:style>
  <w:style w:type="paragraph" w:styleId="a5">
    <w:name w:val="Normal (Web)"/>
    <w:basedOn w:val="a"/>
    <w:uiPriority w:val="99"/>
    <w:semiHidden/>
    <w:unhideWhenUsed/>
    <w:rsid w:val="00CA553A"/>
    <w:pPr>
      <w:widowControl/>
      <w:spacing w:before="100" w:beforeAutospacing="1" w:after="100" w:afterAutospacing="1"/>
      <w:jc w:val="left"/>
    </w:pPr>
    <w:rPr>
      <w:rFonts w:ascii="宋体" w:eastAsia="宋体" w:hAnsi="宋体" w:cs="宋体"/>
      <w:kern w:val="0"/>
      <w:sz w:val="24"/>
      <w:szCs w:val="24"/>
    </w:rPr>
  </w:style>
  <w:style w:type="paragraph" w:customStyle="1" w:styleId="easysite-news-describe">
    <w:name w:val="easysite-news-describe"/>
    <w:basedOn w:val="a"/>
    <w:rsid w:val="00CA553A"/>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785079445">
      <w:bodyDiv w:val="1"/>
      <w:marLeft w:val="0"/>
      <w:marRight w:val="0"/>
      <w:marTop w:val="0"/>
      <w:marBottom w:val="0"/>
      <w:divBdr>
        <w:top w:val="none" w:sz="0" w:space="0" w:color="auto"/>
        <w:left w:val="none" w:sz="0" w:space="0" w:color="auto"/>
        <w:bottom w:val="none" w:sz="0" w:space="0" w:color="auto"/>
        <w:right w:val="none" w:sz="0" w:space="0" w:color="auto"/>
      </w:divBdr>
      <w:divsChild>
        <w:div w:id="2040618816">
          <w:marLeft w:val="0"/>
          <w:marRight w:val="0"/>
          <w:marTop w:val="0"/>
          <w:marBottom w:val="0"/>
          <w:divBdr>
            <w:top w:val="none" w:sz="0" w:space="0" w:color="auto"/>
            <w:left w:val="none" w:sz="0" w:space="0" w:color="auto"/>
            <w:bottom w:val="none" w:sz="0" w:space="0" w:color="auto"/>
            <w:right w:val="none" w:sz="0" w:space="0" w:color="auto"/>
          </w:divBdr>
          <w:divsChild>
            <w:div w:id="143475456">
              <w:marLeft w:val="0"/>
              <w:marRight w:val="0"/>
              <w:marTop w:val="0"/>
              <w:marBottom w:val="0"/>
              <w:divBdr>
                <w:top w:val="none" w:sz="0" w:space="0" w:color="auto"/>
                <w:left w:val="none" w:sz="0" w:space="0" w:color="auto"/>
                <w:bottom w:val="none" w:sz="0" w:space="0" w:color="auto"/>
                <w:right w:val="none" w:sz="0" w:space="0" w:color="auto"/>
              </w:divBdr>
              <w:divsChild>
                <w:div w:id="1781340989">
                  <w:marLeft w:val="0"/>
                  <w:marRight w:val="0"/>
                  <w:marTop w:val="0"/>
                  <w:marBottom w:val="0"/>
                  <w:divBdr>
                    <w:top w:val="none" w:sz="0" w:space="0" w:color="auto"/>
                    <w:left w:val="none" w:sz="0" w:space="0" w:color="auto"/>
                    <w:bottom w:val="none" w:sz="0" w:space="0" w:color="auto"/>
                    <w:right w:val="none" w:sz="0" w:space="0" w:color="auto"/>
                  </w:divBdr>
                  <w:divsChild>
                    <w:div w:id="652611438">
                      <w:marLeft w:val="0"/>
                      <w:marRight w:val="0"/>
                      <w:marTop w:val="0"/>
                      <w:marBottom w:val="0"/>
                      <w:divBdr>
                        <w:top w:val="none" w:sz="0" w:space="0" w:color="auto"/>
                        <w:left w:val="none" w:sz="0" w:space="0" w:color="auto"/>
                        <w:bottom w:val="none" w:sz="0" w:space="0" w:color="auto"/>
                        <w:right w:val="none" w:sz="0" w:space="0" w:color="auto"/>
                      </w:divBdr>
                      <w:divsChild>
                        <w:div w:id="261688395">
                          <w:marLeft w:val="0"/>
                          <w:marRight w:val="0"/>
                          <w:marTop w:val="0"/>
                          <w:marBottom w:val="0"/>
                          <w:divBdr>
                            <w:top w:val="none" w:sz="0" w:space="0" w:color="auto"/>
                            <w:left w:val="none" w:sz="0" w:space="0" w:color="auto"/>
                            <w:bottom w:val="none" w:sz="0" w:space="0" w:color="auto"/>
                            <w:right w:val="none" w:sz="0" w:space="0" w:color="auto"/>
                          </w:divBdr>
                          <w:divsChild>
                            <w:div w:id="554244767">
                              <w:marLeft w:val="0"/>
                              <w:marRight w:val="0"/>
                              <w:marTop w:val="0"/>
                              <w:marBottom w:val="0"/>
                              <w:divBdr>
                                <w:top w:val="none" w:sz="0" w:space="0" w:color="auto"/>
                                <w:left w:val="none" w:sz="0" w:space="0" w:color="auto"/>
                                <w:bottom w:val="none" w:sz="0" w:space="0" w:color="auto"/>
                                <w:right w:val="none" w:sz="0" w:space="0" w:color="auto"/>
                              </w:divBdr>
                              <w:divsChild>
                                <w:div w:id="253899330">
                                  <w:marLeft w:val="0"/>
                                  <w:marRight w:val="0"/>
                                  <w:marTop w:val="0"/>
                                  <w:marBottom w:val="0"/>
                                  <w:divBdr>
                                    <w:top w:val="none" w:sz="0" w:space="0" w:color="auto"/>
                                    <w:left w:val="none" w:sz="0" w:space="0" w:color="auto"/>
                                    <w:bottom w:val="none" w:sz="0" w:space="0" w:color="auto"/>
                                    <w:right w:val="none" w:sz="0" w:space="0" w:color="auto"/>
                                  </w:divBdr>
                                  <w:divsChild>
                                    <w:div w:id="113825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85157">
                              <w:marLeft w:val="0"/>
                              <w:marRight w:val="0"/>
                              <w:marTop w:val="0"/>
                              <w:marBottom w:val="0"/>
                              <w:divBdr>
                                <w:top w:val="none" w:sz="0" w:space="0" w:color="auto"/>
                                <w:left w:val="none" w:sz="0" w:space="0" w:color="auto"/>
                                <w:bottom w:val="none" w:sz="0" w:space="0" w:color="auto"/>
                                <w:right w:val="none" w:sz="0" w:space="0" w:color="auto"/>
                              </w:divBdr>
                              <w:divsChild>
                                <w:div w:id="1151946687">
                                  <w:marLeft w:val="0"/>
                                  <w:marRight w:val="0"/>
                                  <w:marTop w:val="0"/>
                                  <w:marBottom w:val="0"/>
                                  <w:divBdr>
                                    <w:top w:val="none" w:sz="0" w:space="0" w:color="auto"/>
                                    <w:left w:val="none" w:sz="0" w:space="0" w:color="auto"/>
                                    <w:bottom w:val="none" w:sz="0" w:space="0" w:color="auto"/>
                                    <w:right w:val="none" w:sz="0" w:space="0" w:color="auto"/>
                                  </w:divBdr>
                                </w:div>
                              </w:divsChild>
                            </w:div>
                            <w:div w:id="1039356927">
                              <w:marLeft w:val="0"/>
                              <w:marRight w:val="0"/>
                              <w:marTop w:val="0"/>
                              <w:marBottom w:val="0"/>
                              <w:divBdr>
                                <w:top w:val="none" w:sz="0" w:space="0" w:color="auto"/>
                                <w:left w:val="none" w:sz="0" w:space="0" w:color="auto"/>
                                <w:bottom w:val="none" w:sz="0" w:space="0" w:color="auto"/>
                                <w:right w:val="none" w:sz="0" w:space="0" w:color="auto"/>
                              </w:divBdr>
                              <w:divsChild>
                                <w:div w:id="210259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1222</Words>
  <Characters>6971</Characters>
  <Application>Microsoft Office Word</Application>
  <DocSecurity>0</DocSecurity>
  <Lines>58</Lines>
  <Paragraphs>16</Paragraphs>
  <ScaleCrop>false</ScaleCrop>
  <Company>GBHG</Company>
  <LinksUpToDate>false</LinksUpToDate>
  <CharactersWithSpaces>8177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2020-07-03T00:23:00Z</dcterms:created>
  <dcterms:modified xsi:type="dcterms:W3CDTF">2020-07-03T00:24:00Z</dcterms:modified>
</cp:coreProperties>
</file>