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napToGrid w:val="0"/>
        <w:spacing w:before="0" w:beforeAutospacing="0" w:after="0" w:afterAutospacing="0" w:line="594" w:lineRule="exact"/>
        <w:jc w:val="center"/>
        <w:rPr>
          <w:rFonts w:ascii="Times New Roman" w:hAnsi="Times New Roman" w:eastAsia="方正仿宋_GBK"/>
          <w:szCs w:val="32"/>
        </w:rPr>
      </w:pPr>
      <w:r>
        <w:rPr>
          <w:rFonts w:hint="eastAsia" w:ascii="Times New Roman" w:hAnsi="Times New Roman" w:eastAsia="方正黑体_GBK"/>
          <w:sz w:val="44"/>
          <w:szCs w:val="44"/>
        </w:rPr>
        <w:t>检验检疫行政处罚案件信息公开表</w:t>
      </w:r>
    </w:p>
    <w:tbl>
      <w:tblPr>
        <w:tblStyle w:val="5"/>
        <w:tblpPr w:leftFromText="180" w:rightFromText="180" w:vertAnchor="text" w:horzAnchor="page" w:tblpXSpec="center" w:tblpY="530"/>
        <w:tblOverlap w:val="never"/>
        <w:tblW w:w="14233" w:type="dxa"/>
        <w:jc w:val="center"/>
        <w:tblLayout w:type="fixed"/>
        <w:tblCellMar>
          <w:top w:w="0" w:type="dxa"/>
          <w:left w:w="108" w:type="dxa"/>
          <w:bottom w:w="0" w:type="dxa"/>
          <w:right w:w="108" w:type="dxa"/>
        </w:tblCellMar>
      </w:tblPr>
      <w:tblGrid>
        <w:gridCol w:w="660"/>
        <w:gridCol w:w="1015"/>
        <w:gridCol w:w="1112"/>
        <w:gridCol w:w="851"/>
        <w:gridCol w:w="2137"/>
        <w:gridCol w:w="1450"/>
        <w:gridCol w:w="800"/>
        <w:gridCol w:w="1637"/>
        <w:gridCol w:w="2213"/>
        <w:gridCol w:w="925"/>
        <w:gridCol w:w="1433"/>
      </w:tblGrid>
      <w:tr>
        <w:tblPrEx>
          <w:tblCellMar>
            <w:top w:w="0" w:type="dxa"/>
            <w:left w:w="108" w:type="dxa"/>
            <w:bottom w:w="0" w:type="dxa"/>
            <w:right w:w="108" w:type="dxa"/>
          </w:tblCellMar>
        </w:tblPrEx>
        <w:trPr>
          <w:trHeight w:val="935" w:hRule="atLeast"/>
          <w:jc w:val="center"/>
        </w:trPr>
        <w:tc>
          <w:tcPr>
            <w:tcW w:w="660" w:type="dxa"/>
            <w:tcBorders>
              <w:top w:val="single" w:color="auto" w:sz="4" w:space="0"/>
              <w:left w:val="single" w:color="auto" w:sz="4" w:space="0"/>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hint="eastAsia" w:ascii="Times New Roman" w:hAnsi="Times New Roman" w:eastAsia="方正仿宋_GBK"/>
                <w:szCs w:val="32"/>
                <w:lang w:eastAsia="zh-CN"/>
              </w:rPr>
            </w:pPr>
            <w:r>
              <w:rPr>
                <w:rFonts w:hint="eastAsia" w:ascii="Times New Roman" w:hAnsi="Times New Roman" w:eastAsia="方正仿宋_GBK"/>
                <w:szCs w:val="32"/>
                <w:lang w:eastAsia="zh-CN"/>
              </w:rPr>
              <w:t>序号</w:t>
            </w:r>
          </w:p>
        </w:tc>
        <w:tc>
          <w:tcPr>
            <w:tcW w:w="1015"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处罚日期</w:t>
            </w:r>
          </w:p>
        </w:tc>
        <w:tc>
          <w:tcPr>
            <w:tcW w:w="1112"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处罚文号</w:t>
            </w:r>
          </w:p>
        </w:tc>
        <w:tc>
          <w:tcPr>
            <w:tcW w:w="851"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违法当事人</w:t>
            </w:r>
          </w:p>
        </w:tc>
        <w:tc>
          <w:tcPr>
            <w:tcW w:w="2137" w:type="dxa"/>
            <w:tcBorders>
              <w:top w:val="single" w:color="auto" w:sz="4" w:space="0"/>
              <w:left w:val="nil"/>
              <w:bottom w:val="single" w:color="auto" w:sz="4" w:space="0"/>
              <w:right w:val="single" w:color="auto" w:sz="4" w:space="0"/>
              <w:tl2br w:val="nil"/>
              <w:tr2bl w:val="nil"/>
            </w:tcBorders>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违法事实和依据</w:t>
            </w:r>
          </w:p>
        </w:tc>
        <w:tc>
          <w:tcPr>
            <w:tcW w:w="1450"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处罚依据</w:t>
            </w:r>
          </w:p>
        </w:tc>
        <w:tc>
          <w:tcPr>
            <w:tcW w:w="800"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处罚种类</w:t>
            </w:r>
          </w:p>
        </w:tc>
        <w:tc>
          <w:tcPr>
            <w:tcW w:w="1637"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履行方式和期限</w:t>
            </w:r>
          </w:p>
        </w:tc>
        <w:tc>
          <w:tcPr>
            <w:tcW w:w="2213"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救济途径</w:t>
            </w:r>
          </w:p>
        </w:tc>
        <w:tc>
          <w:tcPr>
            <w:tcW w:w="925"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处罚机关</w:t>
            </w:r>
          </w:p>
        </w:tc>
        <w:tc>
          <w:tcPr>
            <w:tcW w:w="1433"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处罚结果</w:t>
            </w:r>
          </w:p>
        </w:tc>
      </w:tr>
      <w:tr>
        <w:tblPrEx>
          <w:tblCellMar>
            <w:top w:w="0" w:type="dxa"/>
            <w:left w:w="108" w:type="dxa"/>
            <w:bottom w:w="0" w:type="dxa"/>
            <w:right w:w="108" w:type="dxa"/>
          </w:tblCellMar>
        </w:tblPrEx>
        <w:trPr>
          <w:trHeight w:val="2467" w:hRule="atLeast"/>
          <w:jc w:val="center"/>
        </w:trPr>
        <w:tc>
          <w:tcPr>
            <w:tcW w:w="660" w:type="dxa"/>
            <w:tcBorders>
              <w:top w:val="nil"/>
              <w:left w:val="single" w:color="auto" w:sz="4" w:space="0"/>
              <w:bottom w:val="single" w:color="auto" w:sz="4" w:space="0"/>
              <w:right w:val="single" w:color="auto" w:sz="4" w:space="0"/>
              <w:tl2br w:val="nil"/>
              <w:tr2bl w:val="nil"/>
            </w:tcBorders>
            <w:noWrap/>
            <w:vAlign w:val="center"/>
          </w:tcPr>
          <w:p>
            <w:pPr>
              <w:pStyle w:val="4"/>
              <w:snapToGrid w:val="0"/>
              <w:spacing w:before="0" w:beforeAutospacing="0" w:after="0" w:afterAutospacing="0" w:line="400" w:lineRule="exact"/>
              <w:jc w:val="center"/>
              <w:rPr>
                <w:rFonts w:ascii="Times New Roman" w:hAnsi="Times New Roman" w:eastAsia="方正仿宋_GBK"/>
              </w:rPr>
            </w:pPr>
            <w:r>
              <w:rPr>
                <w:rFonts w:hint="eastAsia" w:ascii="Times New Roman" w:hAnsi="Times New Roman" w:eastAsia="方正仿宋_GBK"/>
              </w:rPr>
              <w:t>1</w:t>
            </w:r>
          </w:p>
        </w:tc>
        <w:tc>
          <w:tcPr>
            <w:tcW w:w="1015" w:type="dxa"/>
            <w:tcBorders>
              <w:top w:val="nil"/>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400" w:lineRule="exact"/>
              <w:jc w:val="center"/>
              <w:rPr>
                <w:rFonts w:hint="eastAsia" w:ascii="Times New Roman" w:hAnsi="Times New Roman" w:eastAsia="方正仿宋_GBK"/>
                <w:lang w:val="en-US" w:eastAsia="zh-CN"/>
              </w:rPr>
            </w:pPr>
            <w:r>
              <w:rPr>
                <w:rFonts w:hint="eastAsia" w:ascii="Times New Roman" w:hAnsi="Times New Roman" w:eastAsia="方正仿宋_GBK"/>
              </w:rPr>
              <w:t>2026-</w:t>
            </w:r>
            <w:r>
              <w:rPr>
                <w:rFonts w:hint="eastAsia" w:ascii="Times New Roman" w:hAnsi="Times New Roman" w:eastAsia="方正仿宋_GBK"/>
                <w:lang w:val="en-US" w:eastAsia="zh-CN"/>
              </w:rPr>
              <w:t>9</w:t>
            </w:r>
            <w:r>
              <w:rPr>
                <w:rFonts w:hint="eastAsia" w:ascii="Times New Roman" w:hAnsi="Times New Roman" w:eastAsia="方正仿宋_GBK"/>
              </w:rPr>
              <w:t>-</w:t>
            </w:r>
            <w:r>
              <w:rPr>
                <w:rFonts w:hint="eastAsia" w:ascii="Times New Roman" w:hAnsi="Times New Roman" w:eastAsia="方正仿宋_GBK"/>
                <w:lang w:val="en-US" w:eastAsia="zh-CN"/>
              </w:rPr>
              <w:t>9</w:t>
            </w:r>
          </w:p>
        </w:tc>
        <w:tc>
          <w:tcPr>
            <w:tcW w:w="1112" w:type="dxa"/>
            <w:tcBorders>
              <w:top w:val="nil"/>
              <w:left w:val="nil"/>
              <w:bottom w:val="single" w:color="auto" w:sz="4" w:space="0"/>
              <w:right w:val="single" w:color="auto" w:sz="4" w:space="0"/>
              <w:tl2br w:val="nil"/>
              <w:tr2bl w:val="nil"/>
            </w:tcBorders>
            <w:vAlign w:val="center"/>
          </w:tcPr>
          <w:p>
            <w:pPr>
              <w:pStyle w:val="4"/>
              <w:snapToGrid w:val="0"/>
              <w:spacing w:before="0" w:beforeAutospacing="0" w:after="0" w:afterAutospacing="0" w:line="400" w:lineRule="exact"/>
              <w:jc w:val="center"/>
              <w:rPr>
                <w:rFonts w:hint="eastAsia" w:ascii="Times New Roman" w:hAnsi="Times New Roman" w:eastAsia="方正仿宋_GBK"/>
                <w:lang w:val="en-US" w:eastAsia="zh-CN"/>
              </w:rPr>
            </w:pPr>
            <w:r>
              <w:rPr>
                <w:rFonts w:hint="eastAsia" w:ascii="Times New Roman" w:hAnsi="Times New Roman" w:eastAsia="方正仿宋_GBK"/>
                <w:lang w:val="en-US" w:eastAsia="zh-CN"/>
              </w:rPr>
              <w:t>拱中关检罚字〔2026〕14号</w:t>
            </w:r>
          </w:p>
          <w:p>
            <w:pPr>
              <w:pStyle w:val="4"/>
              <w:snapToGrid w:val="0"/>
              <w:spacing w:before="0" w:beforeAutospacing="0" w:after="0" w:afterAutospacing="0" w:line="400" w:lineRule="exact"/>
              <w:jc w:val="center"/>
              <w:rPr>
                <w:rFonts w:ascii="Times New Roman" w:hAnsi="Times New Roman" w:eastAsia="方正仿宋_GBK"/>
              </w:rPr>
            </w:pPr>
          </w:p>
        </w:tc>
        <w:tc>
          <w:tcPr>
            <w:tcW w:w="851" w:type="dxa"/>
            <w:tcBorders>
              <w:top w:val="nil"/>
              <w:left w:val="nil"/>
              <w:bottom w:val="single" w:color="auto" w:sz="4" w:space="0"/>
              <w:right w:val="single" w:color="auto" w:sz="4" w:space="0"/>
              <w:tl2br w:val="nil"/>
              <w:tr2bl w:val="nil"/>
            </w:tcBorders>
            <w:vAlign w:val="center"/>
          </w:tcPr>
          <w:p>
            <w:pPr>
              <w:pStyle w:val="4"/>
              <w:snapToGrid w:val="0"/>
              <w:spacing w:before="0" w:beforeAutospacing="0" w:after="0" w:afterAutospacing="0" w:line="400" w:lineRule="exact"/>
              <w:jc w:val="center"/>
              <w:rPr>
                <w:rFonts w:hint="eastAsia" w:ascii="Times New Roman" w:hAnsi="Times New Roman" w:eastAsia="方正仿宋_GBK"/>
                <w:lang w:val="en-US" w:eastAsia="zh-CN"/>
              </w:rPr>
            </w:pPr>
            <w:r>
              <w:rPr>
                <w:rFonts w:hint="eastAsia" w:ascii="Times New Roman" w:hAnsi="Times New Roman" w:eastAsia="方正仿宋_GBK"/>
                <w:lang w:val="en-US" w:eastAsia="zh-CN"/>
              </w:rPr>
              <w:t>中山市利华干果食品有限公司</w:t>
            </w:r>
          </w:p>
          <w:p>
            <w:pPr>
              <w:pStyle w:val="4"/>
              <w:snapToGrid w:val="0"/>
              <w:spacing w:before="0" w:beforeAutospacing="0" w:after="0" w:afterAutospacing="0" w:line="400" w:lineRule="exact"/>
              <w:jc w:val="center"/>
              <w:rPr>
                <w:rFonts w:ascii="Times New Roman" w:hAnsi="Times New Roman" w:eastAsia="方正仿宋_GBK"/>
              </w:rPr>
            </w:pPr>
          </w:p>
        </w:tc>
        <w:tc>
          <w:tcPr>
            <w:tcW w:w="2137" w:type="dxa"/>
            <w:tcBorders>
              <w:top w:val="nil"/>
              <w:left w:val="nil"/>
              <w:bottom w:val="single" w:color="auto" w:sz="4" w:space="0"/>
              <w:right w:val="single" w:color="auto" w:sz="4" w:space="0"/>
              <w:tl2br w:val="nil"/>
              <w:tr2bl w:val="nil"/>
            </w:tcBorders>
            <w:vAlign w:val="center"/>
          </w:tcPr>
          <w:p>
            <w:pPr>
              <w:pStyle w:val="4"/>
              <w:wordWrap w:val="0"/>
              <w:snapToGrid w:val="0"/>
              <w:spacing w:line="320" w:lineRule="exact"/>
              <w:jc w:val="both"/>
              <w:rPr>
                <w:rFonts w:hint="eastAsia" w:ascii="Times New Roman" w:hAnsi="Times New Roman" w:eastAsia="方正仿宋_GBK"/>
                <w:lang w:val="en-US" w:eastAsia="zh-CN"/>
              </w:rPr>
            </w:pPr>
            <w:r>
              <w:rPr>
                <w:rFonts w:hint="eastAsia" w:ascii="Times New Roman" w:hAnsi="Times New Roman" w:eastAsia="方正仿宋_GBK"/>
                <w:lang w:val="en-US" w:eastAsia="zh-CN"/>
              </w:rPr>
              <w:t>2023年8月至2024年5月期间，当事人除向其秘鲁客户出口自产食品外，还接受客户的委托，代其在国内采购其他厂家食品并办理装柜出货手续。由于采购的食品品类杂、单品数量少，办理报检周期更长、费用更高。为了稳定客户关系，节省时间和成本，当事人法定代表人李润锦明知没有相应报检单证无法正常报关，仍安排跟单员联系广州市正州供应链管理有限公司、广州市澎海货运代理有限公司等企业，向上述公司支付高于正常报关报检的费用，要求在仅提供出口货物清单、不提供报检单证的情形下，安排办理QQ糖、蛋卷、红枣等8票法定检验货物的报关出口手续</w:t>
            </w:r>
            <w:bookmarkStart w:id="0" w:name="_GoBack"/>
            <w:bookmarkEnd w:id="0"/>
            <w:r>
              <w:rPr>
                <w:rFonts w:hint="eastAsia" w:ascii="Times New Roman" w:hAnsi="Times New Roman" w:eastAsia="方正仿宋_GBK"/>
                <w:lang w:val="en-US" w:eastAsia="zh-CN"/>
              </w:rPr>
              <w:t>。当事人伪报出口商品名称，将属于法定检验的商品申报为非法定检验商品，导致法检商品未经检验直接出口，构成《中华人民共和国进出口商品检验法实施条例》第四十三条规定的“擅自出口未报检的属于法定检验的出口商品”违法行为。本案涉案货物价值1856102元。</w:t>
            </w:r>
          </w:p>
          <w:p>
            <w:pPr>
              <w:pStyle w:val="4"/>
              <w:wordWrap w:val="0"/>
              <w:snapToGrid w:val="0"/>
              <w:spacing w:line="320" w:lineRule="exact"/>
              <w:ind w:firstLine="480" w:firstLineChars="200"/>
              <w:jc w:val="center"/>
              <w:rPr>
                <w:rFonts w:hint="eastAsia" w:ascii="Times New Roman" w:hAnsi="Times New Roman" w:eastAsia="方正仿宋_GBK"/>
                <w:lang w:val="en-US" w:eastAsia="zh-CN"/>
              </w:rPr>
            </w:pPr>
          </w:p>
          <w:p>
            <w:pPr>
              <w:pStyle w:val="4"/>
              <w:wordWrap w:val="0"/>
              <w:snapToGrid w:val="0"/>
              <w:spacing w:line="320" w:lineRule="exact"/>
              <w:ind w:firstLine="480" w:firstLineChars="200"/>
              <w:jc w:val="center"/>
              <w:rPr>
                <w:rFonts w:ascii="Times New Roman" w:hAnsi="Times New Roman" w:eastAsia="方正仿宋_GBK"/>
              </w:rPr>
            </w:pPr>
          </w:p>
        </w:tc>
        <w:tc>
          <w:tcPr>
            <w:tcW w:w="1450" w:type="dxa"/>
            <w:tcBorders>
              <w:top w:val="nil"/>
              <w:left w:val="nil"/>
              <w:bottom w:val="single" w:color="auto" w:sz="4" w:space="0"/>
              <w:right w:val="single" w:color="auto" w:sz="4" w:space="0"/>
              <w:tl2br w:val="nil"/>
              <w:tr2bl w:val="nil"/>
            </w:tcBorders>
            <w:vAlign w:val="center"/>
          </w:tcPr>
          <w:p>
            <w:pPr>
              <w:pStyle w:val="4"/>
              <w:wordWrap w:val="0"/>
              <w:snapToGrid w:val="0"/>
              <w:spacing w:line="320" w:lineRule="exact"/>
              <w:jc w:val="both"/>
              <w:rPr>
                <w:rFonts w:hint="eastAsia" w:ascii="Times New Roman" w:hAnsi="Times New Roman" w:eastAsia="方正仿宋_GBK"/>
                <w:sz w:val="21"/>
                <w:szCs w:val="21"/>
                <w:lang w:val="en-US" w:eastAsia="zh-CN"/>
              </w:rPr>
            </w:pPr>
            <w:r>
              <w:rPr>
                <w:rFonts w:hint="eastAsia" w:ascii="Times New Roman" w:hAnsi="Times New Roman" w:eastAsia="方正仿宋_GBK"/>
                <w:sz w:val="21"/>
                <w:szCs w:val="21"/>
                <w:lang w:val="en-US" w:eastAsia="zh-CN"/>
              </w:rPr>
              <w:t>《中华人民共和国进出口商品检验法实施条例》第四十三条、《中华人民共和国海关办理行政处罚案件程序规定》第五十八条第二款之规定，《海关总署关于修订〈中华人民共和国海关行政处罚裁量基准（二）〉的公告》（海关总署公告2025年第21号）第九条第二项及其附件3《海关检验检疫行政处罚常见案件裁量基准》第45项裁量。</w:t>
            </w:r>
          </w:p>
          <w:p>
            <w:pPr>
              <w:pStyle w:val="4"/>
              <w:wordWrap w:val="0"/>
              <w:snapToGrid w:val="0"/>
              <w:spacing w:line="320" w:lineRule="exact"/>
              <w:ind w:firstLine="420" w:firstLineChars="200"/>
              <w:jc w:val="center"/>
              <w:rPr>
                <w:rFonts w:ascii="Times New Roman" w:hAnsi="Times New Roman" w:eastAsia="方正仿宋_GBK"/>
                <w:sz w:val="21"/>
                <w:szCs w:val="21"/>
              </w:rPr>
            </w:pPr>
          </w:p>
        </w:tc>
        <w:tc>
          <w:tcPr>
            <w:tcW w:w="800" w:type="dxa"/>
            <w:tcBorders>
              <w:top w:val="nil"/>
              <w:left w:val="nil"/>
              <w:bottom w:val="single" w:color="auto" w:sz="4" w:space="0"/>
              <w:right w:val="single" w:color="auto" w:sz="4" w:space="0"/>
              <w:tl2br w:val="nil"/>
              <w:tr2bl w:val="nil"/>
            </w:tcBorders>
            <w:vAlign w:val="center"/>
          </w:tcPr>
          <w:p>
            <w:pPr>
              <w:pStyle w:val="4"/>
              <w:wordWrap w:val="0"/>
              <w:snapToGrid w:val="0"/>
              <w:spacing w:line="400" w:lineRule="exact"/>
              <w:jc w:val="center"/>
              <w:rPr>
                <w:rFonts w:hint="eastAsia" w:ascii="Times New Roman" w:hAnsi="Times New Roman" w:eastAsia="方正仿宋_GBK"/>
                <w:lang w:eastAsia="zh-CN"/>
              </w:rPr>
            </w:pPr>
            <w:r>
              <w:rPr>
                <w:rFonts w:hint="eastAsia" w:ascii="Times New Roman" w:hAnsi="Times New Roman" w:eastAsia="方正仿宋_GBK"/>
              </w:rPr>
              <w:t>罚款</w:t>
            </w:r>
            <w:r>
              <w:rPr>
                <w:rFonts w:hint="eastAsia" w:ascii="Times New Roman" w:hAnsi="Times New Roman" w:eastAsia="方正仿宋_GBK"/>
                <w:lang w:eastAsia="zh-CN"/>
              </w:rPr>
              <w:t>、没收违法所得</w:t>
            </w:r>
          </w:p>
        </w:tc>
        <w:tc>
          <w:tcPr>
            <w:tcW w:w="1637" w:type="dxa"/>
            <w:tcBorders>
              <w:top w:val="nil"/>
              <w:left w:val="nil"/>
              <w:bottom w:val="single" w:color="auto" w:sz="4" w:space="0"/>
              <w:right w:val="single" w:color="auto" w:sz="4" w:space="0"/>
              <w:tl2br w:val="nil"/>
              <w:tr2bl w:val="nil"/>
            </w:tcBorders>
            <w:vAlign w:val="center"/>
          </w:tcPr>
          <w:p>
            <w:pPr>
              <w:pStyle w:val="4"/>
              <w:snapToGrid w:val="0"/>
              <w:spacing w:line="400" w:lineRule="exact"/>
              <w:jc w:val="center"/>
              <w:rPr>
                <w:rFonts w:hint="eastAsia" w:ascii="Times New Roman" w:hAnsi="Times New Roman" w:eastAsia="方正仿宋_GBK"/>
              </w:rPr>
            </w:pPr>
            <w:r>
              <w:rPr>
                <w:rFonts w:hint="eastAsia" w:ascii="Times New Roman" w:hAnsi="Times New Roman" w:eastAsia="方正仿宋_GBK"/>
                <w:lang w:val="en-US" w:eastAsia="zh-CN"/>
              </w:rPr>
              <w:t>当事人应当自收到本决定书之日起十五日内，依照《中华人民共和国行政处罚法》第六十六条、第六十七条之规定，到指定的银行或者通过电子支付系统履行上述处罚决定。</w:t>
            </w:r>
          </w:p>
          <w:p>
            <w:pPr>
              <w:pStyle w:val="4"/>
              <w:snapToGrid w:val="0"/>
              <w:spacing w:line="400" w:lineRule="exact"/>
              <w:jc w:val="center"/>
              <w:rPr>
                <w:rFonts w:ascii="Times New Roman" w:hAnsi="Times New Roman" w:eastAsia="方正仿宋_GBK"/>
              </w:rPr>
            </w:pPr>
          </w:p>
        </w:tc>
        <w:tc>
          <w:tcPr>
            <w:tcW w:w="2213" w:type="dxa"/>
            <w:tcBorders>
              <w:top w:val="nil"/>
              <w:left w:val="nil"/>
              <w:bottom w:val="single" w:color="auto" w:sz="4" w:space="0"/>
              <w:right w:val="single" w:color="auto" w:sz="4" w:space="0"/>
              <w:tl2br w:val="nil"/>
              <w:tr2bl w:val="nil"/>
            </w:tcBorders>
            <w:vAlign w:val="center"/>
          </w:tcPr>
          <w:p>
            <w:pPr>
              <w:pStyle w:val="4"/>
              <w:wordWrap w:val="0"/>
              <w:snapToGrid w:val="0"/>
              <w:spacing w:before="0" w:beforeAutospacing="0" w:after="0" w:afterAutospacing="0" w:line="400" w:lineRule="exact"/>
              <w:jc w:val="center"/>
              <w:rPr>
                <w:rFonts w:hint="eastAsia" w:ascii="Times New Roman" w:hAnsi="Times New Roman" w:eastAsia="方正仿宋_GBK"/>
                <w:lang w:val="en-US" w:eastAsia="zh-CN"/>
              </w:rPr>
            </w:pPr>
            <w:r>
              <w:rPr>
                <w:rFonts w:hint="eastAsia" w:ascii="Times New Roman" w:hAnsi="Times New Roman" w:eastAsia="方正仿宋_GBK"/>
                <w:lang w:val="en-US" w:eastAsia="zh-CN"/>
              </w:rPr>
              <w:t>当事人不服本处罚决定的，依照《中华人民共和国行政复议法》第十一条、第二十条、第二十七条、《中华人民共和国行政诉讼法》第十五条第二项、第四十六条第一款之规定，可自收到本决定书之日起六十日内向中华人民共和国拱北海关申请行政复议，或者自收到本决定书之日起六个月内，直接向中山市中级人民法院提起诉讼。</w:t>
            </w:r>
          </w:p>
          <w:p>
            <w:pPr>
              <w:pStyle w:val="4"/>
              <w:wordWrap w:val="0"/>
              <w:snapToGrid w:val="0"/>
              <w:spacing w:before="0" w:beforeAutospacing="0" w:after="0" w:afterAutospacing="0" w:line="400" w:lineRule="exact"/>
              <w:jc w:val="center"/>
              <w:rPr>
                <w:rFonts w:hint="eastAsia" w:ascii="Times New Roman" w:hAnsi="Times New Roman" w:eastAsia="方正仿宋_GBK"/>
              </w:rPr>
            </w:pPr>
          </w:p>
          <w:p>
            <w:pPr>
              <w:pStyle w:val="4"/>
              <w:wordWrap w:val="0"/>
              <w:snapToGrid w:val="0"/>
              <w:spacing w:before="0" w:beforeAutospacing="0" w:after="0" w:afterAutospacing="0" w:line="400" w:lineRule="exact"/>
              <w:jc w:val="center"/>
              <w:rPr>
                <w:rFonts w:ascii="Times New Roman" w:hAnsi="Times New Roman" w:eastAsia="方正仿宋_GBK"/>
              </w:rPr>
            </w:pPr>
          </w:p>
        </w:tc>
        <w:tc>
          <w:tcPr>
            <w:tcW w:w="925" w:type="dxa"/>
            <w:tcBorders>
              <w:top w:val="nil"/>
              <w:left w:val="nil"/>
              <w:bottom w:val="single" w:color="auto" w:sz="4" w:space="0"/>
              <w:right w:val="single" w:color="auto" w:sz="4" w:space="0"/>
              <w:tl2br w:val="nil"/>
              <w:tr2bl w:val="nil"/>
            </w:tcBorders>
            <w:vAlign w:val="center"/>
          </w:tcPr>
          <w:p>
            <w:pPr>
              <w:pStyle w:val="4"/>
              <w:snapToGrid w:val="0"/>
              <w:spacing w:before="0" w:beforeAutospacing="0" w:after="0" w:afterAutospacing="0" w:line="400" w:lineRule="exact"/>
              <w:jc w:val="center"/>
              <w:rPr>
                <w:rFonts w:ascii="Times New Roman" w:hAnsi="Times New Roman" w:eastAsia="方正仿宋_GBK"/>
              </w:rPr>
            </w:pPr>
            <w:r>
              <w:rPr>
                <w:rFonts w:hint="eastAsia" w:ascii="Times New Roman" w:hAnsi="Times New Roman" w:eastAsia="方正仿宋_GBK"/>
              </w:rPr>
              <w:t>中山海关</w:t>
            </w:r>
          </w:p>
        </w:tc>
        <w:tc>
          <w:tcPr>
            <w:tcW w:w="1433" w:type="dxa"/>
            <w:tcBorders>
              <w:top w:val="nil"/>
              <w:left w:val="nil"/>
              <w:bottom w:val="single" w:color="auto" w:sz="4" w:space="0"/>
              <w:right w:val="single" w:color="auto" w:sz="4" w:space="0"/>
              <w:tl2br w:val="nil"/>
              <w:tr2bl w:val="nil"/>
            </w:tcBorders>
            <w:vAlign w:val="center"/>
          </w:tcPr>
          <w:p>
            <w:pPr>
              <w:pStyle w:val="4"/>
              <w:wordWrap w:val="0"/>
              <w:snapToGrid w:val="0"/>
              <w:spacing w:before="0" w:beforeAutospacing="0" w:after="0" w:afterAutospacing="0" w:line="400" w:lineRule="exact"/>
              <w:jc w:val="center"/>
              <w:rPr>
                <w:rFonts w:hint="eastAsia" w:ascii="Times New Roman" w:hAnsi="Times New Roman" w:eastAsia="方正仿宋_GBK"/>
                <w:lang w:val="en-US" w:eastAsia="zh-CN"/>
              </w:rPr>
            </w:pPr>
            <w:r>
              <w:rPr>
                <w:rFonts w:hint="eastAsia" w:ascii="Times New Roman" w:hAnsi="Times New Roman" w:eastAsia="方正仿宋_GBK"/>
                <w:lang w:val="en-US" w:eastAsia="zh-CN"/>
              </w:rPr>
              <w:t>处罚款人民币92805.1元，并没收违法所得56000元。</w:t>
            </w:r>
          </w:p>
          <w:p>
            <w:pPr>
              <w:pStyle w:val="4"/>
              <w:wordWrap w:val="0"/>
              <w:snapToGrid w:val="0"/>
              <w:spacing w:before="0" w:beforeAutospacing="0" w:after="0" w:afterAutospacing="0" w:line="400" w:lineRule="exact"/>
              <w:jc w:val="center"/>
              <w:rPr>
                <w:rFonts w:ascii="Times New Roman" w:hAnsi="Times New Roman" w:eastAsia="方正仿宋_GBK"/>
              </w:rPr>
            </w:pPr>
          </w:p>
        </w:tc>
      </w:tr>
    </w:tbl>
    <w:p/>
    <w:sectPr>
      <w:footerReference r:id="rId3" w:type="default"/>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Arial Unicode MS">
    <w:altName w:val="Times New Roman"/>
    <w:panose1 w:val="020B0604020202020204"/>
    <w:charset w:val="86"/>
    <w:family w:val="swiss"/>
    <w:pitch w:val="default"/>
    <w:sig w:usb0="00000000" w:usb1="00000000" w:usb2="0000003F" w:usb3="00000000" w:csb0="003F01FF"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sz w:val="32"/>
        <w:szCs w:val="32"/>
      </w:rPr>
    </w:pPr>
    <w:r>
      <w:rPr>
        <w:sz w:val="32"/>
        <w:szCs w:val="32"/>
      </w:rPr>
      <w:fldChar w:fldCharType="begin"/>
    </w:r>
    <w:r>
      <w:rPr>
        <w:sz w:val="32"/>
        <w:szCs w:val="32"/>
      </w:rPr>
      <w:instrText xml:space="preserve">Page</w:instrText>
    </w:r>
    <w:r>
      <w:rPr>
        <w:sz w:val="32"/>
        <w:szCs w:val="32"/>
      </w:rPr>
      <w:fldChar w:fldCharType="separate"/>
    </w:r>
    <w:r>
      <w:rPr>
        <w:sz w:val="32"/>
        <w:szCs w:val="32"/>
      </w:rPr>
      <w:t>- 2 -</w:t>
    </w:r>
    <w:r>
      <w:rPr>
        <w:sz w:val="32"/>
        <w:szCs w:val="32"/>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F72"/>
    <w:rsid w:val="00063498"/>
    <w:rsid w:val="000E7EAF"/>
    <w:rsid w:val="001066E2"/>
    <w:rsid w:val="0014645E"/>
    <w:rsid w:val="0024111D"/>
    <w:rsid w:val="00303894"/>
    <w:rsid w:val="003216D9"/>
    <w:rsid w:val="003D2938"/>
    <w:rsid w:val="00736B49"/>
    <w:rsid w:val="00757A70"/>
    <w:rsid w:val="008403FF"/>
    <w:rsid w:val="00941BFE"/>
    <w:rsid w:val="00973192"/>
    <w:rsid w:val="0098724E"/>
    <w:rsid w:val="00995011"/>
    <w:rsid w:val="009B7E70"/>
    <w:rsid w:val="00A9265D"/>
    <w:rsid w:val="00B15904"/>
    <w:rsid w:val="00B662F1"/>
    <w:rsid w:val="00B76F72"/>
    <w:rsid w:val="00C37C11"/>
    <w:rsid w:val="00C9570A"/>
    <w:rsid w:val="00CF600D"/>
    <w:rsid w:val="00E67F3D"/>
    <w:rsid w:val="00E86FEF"/>
    <w:rsid w:val="00F14E51"/>
    <w:rsid w:val="00F70A4E"/>
    <w:rsid w:val="1FFBC93C"/>
    <w:rsid w:val="3DD9A533"/>
    <w:rsid w:val="3E37CBD4"/>
    <w:rsid w:val="7A77B01A"/>
    <w:rsid w:val="7D1F63B7"/>
    <w:rsid w:val="7DDB1527"/>
    <w:rsid w:val="7FA7A3C7"/>
    <w:rsid w:val="BEFDFF3E"/>
    <w:rsid w:val="F7F77804"/>
    <w:rsid w:val="F7FF54DE"/>
    <w:rsid w:val="FBBDA594"/>
    <w:rsid w:val="FDAF8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7"/>
      </w:tabs>
      <w:snapToGrid w:val="0"/>
      <w:jc w:val="left"/>
    </w:pPr>
    <w:rPr>
      <w:sz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qFormat/>
    <w:uiPriority w:val="0"/>
    <w:pPr>
      <w:spacing w:before="100" w:beforeAutospacing="1" w:after="100" w:afterAutospacing="1"/>
    </w:pPr>
    <w:rPr>
      <w:rFonts w:ascii="Arial Unicode MS" w:hAnsi="Arial Unicode MS" w:eastAsia="Times New Roman" w:cs="Times New Roman"/>
      <w:sz w:val="24"/>
      <w:szCs w:val="24"/>
      <w:lang w:val="en-US" w:eastAsia="zh-CN" w:bidi="ar-SA"/>
    </w:rPr>
  </w:style>
  <w:style w:type="character" w:customStyle="1" w:styleId="7">
    <w:name w:val="页脚 Char"/>
    <w:basedOn w:val="6"/>
    <w:link w:val="2"/>
    <w:qFormat/>
    <w:uiPriority w:val="0"/>
    <w:rPr>
      <w:rFonts w:ascii="Calibri" w:hAnsi="Calibri" w:eastAsia="宋体" w:cs="Times New Roman"/>
      <w:sz w:val="18"/>
      <w:szCs w:val="22"/>
    </w:rPr>
  </w:style>
  <w:style w:type="character" w:customStyle="1" w:styleId="8">
    <w:name w:val="页眉 Char"/>
    <w:basedOn w:val="6"/>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GBHG</Company>
  <Pages>3</Pages>
  <Words>147</Words>
  <Characters>840</Characters>
  <Lines>7</Lines>
  <Paragraphs>1</Paragraphs>
  <TotalTime>11</TotalTime>
  <ScaleCrop>false</ScaleCrop>
  <LinksUpToDate>false</LinksUpToDate>
  <CharactersWithSpaces>986</CharactersWithSpaces>
  <Application>WPS Office_11.8.2.1118_F1E327BC-269C-435d-A152-05C5408002CA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2026-01-05T23:34:00Z</dcterms:created>
  <dc:creator>赖少钧</dc:creator>
  <cp:lastModifiedBy>gb5545</cp:lastModifiedBy>
  <dcterms:modified xsi:type="dcterms:W3CDTF">2026-09-11T15:29:49Z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2052-11.8.2.1118</vt:lpwstr>
  </property>
  <property fmtid="{D5CDD505-2E9C-101B-9397-08002B2CF9AE}" pid="3" name="ICV">
    <vt:lpwstr>1DD838F427714125EDADA36A16801754</vt:lpwstr>
  </property>
</Properties>
</file>