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napToGrid w:val="0"/>
        <w:spacing w:before="0" w:beforeAutospacing="0" w:after="0" w:afterAutospacing="0" w:line="594" w:lineRule="exact"/>
        <w:jc w:val="center"/>
        <w:rPr>
          <w:rFonts w:ascii="Times New Roman" w:hAnsi="Times New Roman" w:eastAsia="方正仿宋_GBK"/>
          <w:szCs w:val="32"/>
        </w:rPr>
      </w:pPr>
      <w:r>
        <w:rPr>
          <w:rFonts w:hint="eastAsia" w:ascii="Times New Roman" w:hAnsi="Times New Roman" w:eastAsia="方正黑体_GBK"/>
          <w:sz w:val="44"/>
          <w:szCs w:val="44"/>
        </w:rPr>
        <w:t>检验检疫行政处罚案件信息公开表</w:t>
      </w:r>
    </w:p>
    <w:tbl>
      <w:tblPr>
        <w:tblStyle w:val="5"/>
        <w:tblpPr w:leftFromText="180" w:rightFromText="180" w:vertAnchor="text" w:horzAnchor="page" w:tblpXSpec="center" w:tblpY="530"/>
        <w:tblOverlap w:val="never"/>
        <w:tblW w:w="14233" w:type="dxa"/>
        <w:jc w:val="center"/>
        <w:tblLayout w:type="fixed"/>
        <w:tblCellMar>
          <w:top w:w="0" w:type="dxa"/>
          <w:left w:w="108" w:type="dxa"/>
          <w:bottom w:w="0" w:type="dxa"/>
          <w:right w:w="108" w:type="dxa"/>
        </w:tblCellMar>
      </w:tblPr>
      <w:tblGrid>
        <w:gridCol w:w="660"/>
        <w:gridCol w:w="1015"/>
        <w:gridCol w:w="1112"/>
        <w:gridCol w:w="851"/>
        <w:gridCol w:w="2137"/>
        <w:gridCol w:w="1450"/>
        <w:gridCol w:w="800"/>
        <w:gridCol w:w="1637"/>
        <w:gridCol w:w="2213"/>
        <w:gridCol w:w="925"/>
        <w:gridCol w:w="1433"/>
      </w:tblGrid>
      <w:tr>
        <w:tblPrEx>
          <w:tblCellMar>
            <w:top w:w="0" w:type="dxa"/>
            <w:left w:w="108" w:type="dxa"/>
            <w:bottom w:w="0" w:type="dxa"/>
            <w:right w:w="108" w:type="dxa"/>
          </w:tblCellMar>
        </w:tblPrEx>
        <w:trPr>
          <w:trHeight w:val="935" w:hRule="atLeast"/>
          <w:jc w:val="center"/>
        </w:trPr>
        <w:tc>
          <w:tcPr>
            <w:tcW w:w="660" w:type="dxa"/>
            <w:tcBorders>
              <w:top w:val="single" w:color="auto" w:sz="4" w:space="0"/>
              <w:left w:val="single" w:color="auto" w:sz="4" w:space="0"/>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bookmarkStart w:id="0" w:name="_GoBack"/>
          </w:p>
        </w:tc>
        <w:tc>
          <w:tcPr>
            <w:tcW w:w="1015"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处罚日期</w:t>
            </w:r>
          </w:p>
        </w:tc>
        <w:tc>
          <w:tcPr>
            <w:tcW w:w="1112"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处罚文号</w:t>
            </w:r>
          </w:p>
        </w:tc>
        <w:tc>
          <w:tcPr>
            <w:tcW w:w="851"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违法当事人</w:t>
            </w:r>
          </w:p>
        </w:tc>
        <w:tc>
          <w:tcPr>
            <w:tcW w:w="2137" w:type="dxa"/>
            <w:tcBorders>
              <w:top w:val="single" w:color="auto" w:sz="4" w:space="0"/>
              <w:left w:val="nil"/>
              <w:bottom w:val="single" w:color="auto" w:sz="4" w:space="0"/>
              <w:right w:val="single" w:color="auto" w:sz="4" w:space="0"/>
              <w:tl2br w:val="nil"/>
              <w:tr2bl w:val="nil"/>
            </w:tcBorders>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违法事实和依据</w:t>
            </w:r>
          </w:p>
        </w:tc>
        <w:tc>
          <w:tcPr>
            <w:tcW w:w="1450"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处罚依据</w:t>
            </w:r>
          </w:p>
        </w:tc>
        <w:tc>
          <w:tcPr>
            <w:tcW w:w="800"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处罚种类</w:t>
            </w:r>
          </w:p>
        </w:tc>
        <w:tc>
          <w:tcPr>
            <w:tcW w:w="1637"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履行方式和期限</w:t>
            </w:r>
          </w:p>
        </w:tc>
        <w:tc>
          <w:tcPr>
            <w:tcW w:w="2213"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救济途径</w:t>
            </w:r>
          </w:p>
        </w:tc>
        <w:tc>
          <w:tcPr>
            <w:tcW w:w="925"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处罚机关</w:t>
            </w:r>
          </w:p>
        </w:tc>
        <w:tc>
          <w:tcPr>
            <w:tcW w:w="1433" w:type="dxa"/>
            <w:tcBorders>
              <w:top w:val="single" w:color="auto" w:sz="4" w:space="0"/>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594" w:lineRule="exact"/>
              <w:jc w:val="center"/>
              <w:outlineLvl w:val="1"/>
              <w:rPr>
                <w:rFonts w:ascii="Times New Roman" w:hAnsi="Times New Roman" w:eastAsia="方正仿宋_GBK"/>
                <w:szCs w:val="32"/>
              </w:rPr>
            </w:pPr>
            <w:r>
              <w:rPr>
                <w:rFonts w:hint="eastAsia" w:ascii="Times New Roman" w:hAnsi="Times New Roman" w:eastAsia="方正仿宋_GBK"/>
                <w:szCs w:val="32"/>
              </w:rPr>
              <w:t>处罚结果</w:t>
            </w:r>
          </w:p>
        </w:tc>
      </w:tr>
      <w:tr>
        <w:tblPrEx>
          <w:tblCellMar>
            <w:top w:w="0" w:type="dxa"/>
            <w:left w:w="108" w:type="dxa"/>
            <w:bottom w:w="0" w:type="dxa"/>
            <w:right w:w="108" w:type="dxa"/>
          </w:tblCellMar>
        </w:tblPrEx>
        <w:trPr>
          <w:trHeight w:val="2467" w:hRule="atLeast"/>
          <w:jc w:val="center"/>
        </w:trPr>
        <w:tc>
          <w:tcPr>
            <w:tcW w:w="660" w:type="dxa"/>
            <w:tcBorders>
              <w:top w:val="nil"/>
              <w:left w:val="single" w:color="auto" w:sz="4" w:space="0"/>
              <w:bottom w:val="single" w:color="auto" w:sz="4" w:space="0"/>
              <w:right w:val="single" w:color="auto" w:sz="4" w:space="0"/>
              <w:tl2br w:val="nil"/>
              <w:tr2bl w:val="nil"/>
            </w:tcBorders>
            <w:noWrap/>
            <w:vAlign w:val="center"/>
          </w:tcPr>
          <w:p>
            <w:pPr>
              <w:pStyle w:val="4"/>
              <w:snapToGrid w:val="0"/>
              <w:spacing w:before="0" w:beforeAutospacing="0" w:after="0" w:afterAutospacing="0" w:line="400" w:lineRule="exact"/>
              <w:jc w:val="center"/>
              <w:rPr>
                <w:rFonts w:ascii="Times New Roman" w:hAnsi="Times New Roman" w:eastAsia="方正仿宋_GBK"/>
              </w:rPr>
            </w:pPr>
            <w:r>
              <w:rPr>
                <w:rFonts w:hint="eastAsia" w:ascii="Times New Roman" w:hAnsi="Times New Roman" w:eastAsia="方正仿宋_GBK"/>
              </w:rPr>
              <w:t>1</w:t>
            </w:r>
          </w:p>
        </w:tc>
        <w:tc>
          <w:tcPr>
            <w:tcW w:w="1015" w:type="dxa"/>
            <w:tcBorders>
              <w:top w:val="nil"/>
              <w:left w:val="nil"/>
              <w:bottom w:val="single" w:color="auto" w:sz="4" w:space="0"/>
              <w:right w:val="single" w:color="auto" w:sz="4" w:space="0"/>
              <w:tl2br w:val="nil"/>
              <w:tr2bl w:val="nil"/>
            </w:tcBorders>
            <w:noWrap/>
            <w:vAlign w:val="center"/>
          </w:tcPr>
          <w:p>
            <w:pPr>
              <w:pStyle w:val="4"/>
              <w:snapToGrid w:val="0"/>
              <w:spacing w:before="0" w:beforeAutospacing="0" w:after="0" w:afterAutospacing="0" w:line="400" w:lineRule="exact"/>
              <w:jc w:val="center"/>
              <w:rPr>
                <w:rFonts w:hint="eastAsia" w:ascii="Times New Roman" w:hAnsi="Times New Roman" w:eastAsia="方正仿宋_GBK"/>
                <w:lang w:eastAsia="zh-CN"/>
              </w:rPr>
            </w:pPr>
            <w:r>
              <w:rPr>
                <w:rFonts w:hint="eastAsia" w:ascii="Times New Roman" w:hAnsi="Times New Roman" w:eastAsia="方正仿宋_GBK"/>
              </w:rPr>
              <w:t>2026-</w:t>
            </w:r>
            <w:r>
              <w:rPr>
                <w:rFonts w:hint="eastAsia" w:ascii="Times New Roman" w:hAnsi="Times New Roman" w:eastAsia="方正仿宋_GBK"/>
                <w:lang w:val="en-US" w:eastAsia="zh-CN"/>
              </w:rPr>
              <w:t>9</w:t>
            </w:r>
            <w:r>
              <w:rPr>
                <w:rFonts w:hint="eastAsia" w:ascii="Times New Roman" w:hAnsi="Times New Roman" w:eastAsia="方正仿宋_GBK"/>
              </w:rPr>
              <w:t>-</w:t>
            </w:r>
            <w:r>
              <w:rPr>
                <w:rFonts w:hint="eastAsia" w:ascii="Times New Roman" w:hAnsi="Times New Roman" w:eastAsia="方正仿宋_GBK"/>
                <w:lang w:val="en-US" w:eastAsia="zh-CN"/>
              </w:rPr>
              <w:t>8</w:t>
            </w:r>
          </w:p>
        </w:tc>
        <w:tc>
          <w:tcPr>
            <w:tcW w:w="1112" w:type="dxa"/>
            <w:tcBorders>
              <w:top w:val="nil"/>
              <w:left w:val="nil"/>
              <w:bottom w:val="single" w:color="auto" w:sz="4" w:space="0"/>
              <w:right w:val="single" w:color="auto" w:sz="4" w:space="0"/>
              <w:tl2br w:val="nil"/>
              <w:tr2bl w:val="nil"/>
            </w:tcBorders>
            <w:vAlign w:val="center"/>
          </w:tcPr>
          <w:p>
            <w:pPr>
              <w:pStyle w:val="4"/>
              <w:snapToGrid w:val="0"/>
              <w:spacing w:before="0" w:beforeAutospacing="0" w:after="0" w:afterAutospacing="0" w:line="400" w:lineRule="exact"/>
              <w:jc w:val="center"/>
              <w:rPr>
                <w:rFonts w:hint="eastAsia" w:ascii="Times New Roman" w:hAnsi="Times New Roman" w:eastAsia="方正仿宋_GBK"/>
              </w:rPr>
            </w:pPr>
            <w:r>
              <w:rPr>
                <w:rFonts w:hint="eastAsia" w:ascii="Times New Roman" w:hAnsi="Times New Roman" w:eastAsia="方正仿宋_GBK"/>
                <w:lang w:val="en-US" w:eastAsia="zh-CN"/>
              </w:rPr>
              <w:t>拱中关检罚字〔2026〕13号</w:t>
            </w:r>
          </w:p>
          <w:p>
            <w:pPr>
              <w:pStyle w:val="4"/>
              <w:snapToGrid w:val="0"/>
              <w:spacing w:before="0" w:beforeAutospacing="0" w:after="0" w:afterAutospacing="0" w:line="400" w:lineRule="exact"/>
              <w:jc w:val="center"/>
              <w:rPr>
                <w:rFonts w:ascii="Times New Roman" w:hAnsi="Times New Roman" w:eastAsia="方正仿宋_GBK"/>
              </w:rPr>
            </w:pPr>
          </w:p>
        </w:tc>
        <w:tc>
          <w:tcPr>
            <w:tcW w:w="851" w:type="dxa"/>
            <w:tcBorders>
              <w:top w:val="nil"/>
              <w:left w:val="nil"/>
              <w:bottom w:val="single" w:color="auto" w:sz="4" w:space="0"/>
              <w:right w:val="single" w:color="auto" w:sz="4" w:space="0"/>
              <w:tl2br w:val="nil"/>
              <w:tr2bl w:val="nil"/>
            </w:tcBorders>
            <w:vAlign w:val="center"/>
          </w:tcPr>
          <w:p>
            <w:pPr>
              <w:pStyle w:val="4"/>
              <w:snapToGrid w:val="0"/>
              <w:spacing w:before="0" w:beforeAutospacing="0" w:after="0" w:afterAutospacing="0" w:line="400" w:lineRule="exact"/>
              <w:jc w:val="center"/>
              <w:rPr>
                <w:rFonts w:hint="eastAsia" w:ascii="Times New Roman" w:hAnsi="Times New Roman" w:eastAsia="方正仿宋_GBK"/>
              </w:rPr>
            </w:pPr>
            <w:r>
              <w:rPr>
                <w:rFonts w:hint="eastAsia" w:ascii="Times New Roman" w:hAnsi="Times New Roman" w:eastAsia="方正仿宋_GBK"/>
                <w:lang w:val="en-US" w:eastAsia="zh-CN"/>
              </w:rPr>
              <w:t>中山市国惠科技有限公司</w:t>
            </w:r>
          </w:p>
          <w:p>
            <w:pPr>
              <w:pStyle w:val="4"/>
              <w:snapToGrid w:val="0"/>
              <w:spacing w:before="0" w:beforeAutospacing="0" w:after="0" w:afterAutospacing="0" w:line="400" w:lineRule="exact"/>
              <w:jc w:val="center"/>
              <w:rPr>
                <w:rFonts w:ascii="Times New Roman" w:hAnsi="Times New Roman" w:eastAsia="方正仿宋_GBK"/>
              </w:rPr>
            </w:pPr>
          </w:p>
        </w:tc>
        <w:tc>
          <w:tcPr>
            <w:tcW w:w="2137" w:type="dxa"/>
            <w:tcBorders>
              <w:top w:val="nil"/>
              <w:left w:val="nil"/>
              <w:bottom w:val="single" w:color="auto" w:sz="4" w:space="0"/>
              <w:right w:val="single" w:color="auto" w:sz="4" w:space="0"/>
              <w:tl2br w:val="nil"/>
              <w:tr2bl w:val="nil"/>
            </w:tcBorders>
            <w:vAlign w:val="center"/>
          </w:tcPr>
          <w:p>
            <w:pPr>
              <w:pStyle w:val="4"/>
              <w:wordWrap w:val="0"/>
              <w:snapToGrid w:val="0"/>
              <w:spacing w:line="320" w:lineRule="exact"/>
              <w:jc w:val="both"/>
              <w:rPr>
                <w:rFonts w:ascii="Times New Roman" w:hAnsi="Times New Roman" w:eastAsia="方正仿宋_GBK"/>
              </w:rPr>
            </w:pPr>
            <w:r>
              <w:rPr>
                <w:rFonts w:hint="eastAsia" w:ascii="Times New Roman" w:hAnsi="Times New Roman" w:eastAsia="方正仿宋_GBK"/>
                <w:lang w:val="en-US" w:eastAsia="zh-CN"/>
              </w:rPr>
              <w:t>2025年7月29日，当事人以一般贸易方式向海关申报进口内存条1589条(报关单编号:572120251215025217)，商品编码申报为8473309000。经检测鉴定，货物新旧程度为5成新(固体废物属性鉴别为非固体废物)，属于《关于调整进口旧机电产品检验监管的公告》(国家质量监督检验检疫总局公告2014年第145号)附件1《实施检验监管的进口旧机电产品目录》内的法定检验商品。当事人进口法定检验商品不予报检逃避商品检验，违反了《中华人民共和国进出口商品检验法》第十一条。同时，该货物为旧品，当事人未按规定向海关申报与检疫查验有关的事项，违反了《中华人民共和国国境卫生检疫法》（2024年修订）第十九条的规定。本案违法货物价值1604708元。</w:t>
            </w:r>
          </w:p>
        </w:tc>
        <w:tc>
          <w:tcPr>
            <w:tcW w:w="1450" w:type="dxa"/>
            <w:tcBorders>
              <w:top w:val="nil"/>
              <w:left w:val="nil"/>
              <w:bottom w:val="single" w:color="auto" w:sz="4" w:space="0"/>
              <w:right w:val="single" w:color="auto" w:sz="4" w:space="0"/>
              <w:tl2br w:val="nil"/>
              <w:tr2bl w:val="nil"/>
            </w:tcBorders>
            <w:vAlign w:val="center"/>
          </w:tcPr>
          <w:p>
            <w:pPr>
              <w:pStyle w:val="4"/>
              <w:wordWrap w:val="0"/>
              <w:snapToGrid w:val="0"/>
              <w:spacing w:line="320" w:lineRule="exact"/>
              <w:jc w:val="both"/>
              <w:rPr>
                <w:rFonts w:ascii="Times New Roman" w:hAnsi="Times New Roman" w:eastAsia="方正仿宋_GBK"/>
                <w:sz w:val="21"/>
                <w:szCs w:val="21"/>
              </w:rPr>
            </w:pPr>
            <w:r>
              <w:rPr>
                <w:rFonts w:hint="eastAsia" w:ascii="Times New Roman" w:hAnsi="Times New Roman" w:eastAsia="方正仿宋_GBK"/>
                <w:sz w:val="21"/>
                <w:szCs w:val="21"/>
                <w:lang w:val="en-US" w:eastAsia="zh-CN"/>
              </w:rPr>
              <w:t>《中华人民共和国行政处罚法》第二十九条之规定，《中华人民共和国国境卫生检疫法》（2024年修订）第四十五条第二款第一项、《中华人民共和国进出口商品检验法实施条例》第四十五条第一款规定，《中华人民共和国海关行政处罚裁量基准（二）》（海关总署公告2025年第21号）第九条第二项及其附件3《海关检验检疫行政处罚常见案件裁量基准（二）》第6项、第47项裁量。</w:t>
            </w:r>
          </w:p>
        </w:tc>
        <w:tc>
          <w:tcPr>
            <w:tcW w:w="800" w:type="dxa"/>
            <w:tcBorders>
              <w:top w:val="nil"/>
              <w:left w:val="nil"/>
              <w:bottom w:val="single" w:color="auto" w:sz="4" w:space="0"/>
              <w:right w:val="single" w:color="auto" w:sz="4" w:space="0"/>
              <w:tl2br w:val="nil"/>
              <w:tr2bl w:val="nil"/>
            </w:tcBorders>
            <w:vAlign w:val="center"/>
          </w:tcPr>
          <w:p>
            <w:pPr>
              <w:pStyle w:val="4"/>
              <w:wordWrap w:val="0"/>
              <w:snapToGrid w:val="0"/>
              <w:spacing w:line="400" w:lineRule="exact"/>
              <w:jc w:val="center"/>
              <w:rPr>
                <w:rFonts w:ascii="Times New Roman" w:hAnsi="Times New Roman" w:eastAsia="方正仿宋_GBK"/>
              </w:rPr>
            </w:pPr>
            <w:r>
              <w:rPr>
                <w:rFonts w:hint="eastAsia" w:ascii="Times New Roman" w:hAnsi="Times New Roman" w:eastAsia="方正仿宋_GBK"/>
                <w:lang w:eastAsia="zh-CN"/>
              </w:rPr>
              <w:t>警告、</w:t>
            </w:r>
            <w:r>
              <w:rPr>
                <w:rFonts w:hint="eastAsia" w:ascii="Times New Roman" w:hAnsi="Times New Roman" w:eastAsia="方正仿宋_GBK"/>
              </w:rPr>
              <w:t>罚款</w:t>
            </w:r>
          </w:p>
        </w:tc>
        <w:tc>
          <w:tcPr>
            <w:tcW w:w="1637" w:type="dxa"/>
            <w:tcBorders>
              <w:top w:val="nil"/>
              <w:left w:val="nil"/>
              <w:bottom w:val="single" w:color="auto" w:sz="4" w:space="0"/>
              <w:right w:val="single" w:color="auto" w:sz="4" w:space="0"/>
              <w:tl2br w:val="nil"/>
              <w:tr2bl w:val="nil"/>
            </w:tcBorders>
            <w:vAlign w:val="center"/>
          </w:tcPr>
          <w:p>
            <w:pPr>
              <w:pStyle w:val="4"/>
              <w:snapToGrid w:val="0"/>
              <w:spacing w:line="400" w:lineRule="exact"/>
              <w:jc w:val="center"/>
              <w:rPr>
                <w:rFonts w:hint="eastAsia" w:ascii="Times New Roman" w:hAnsi="Times New Roman" w:eastAsia="方正仿宋_GBK"/>
              </w:rPr>
            </w:pPr>
            <w:r>
              <w:rPr>
                <w:rFonts w:hint="eastAsia" w:ascii="Times New Roman" w:hAnsi="Times New Roman" w:eastAsia="方正仿宋_GBK"/>
                <w:lang w:val="en-US" w:eastAsia="zh-CN"/>
              </w:rPr>
              <w:t>当事人应当自收到本决定书之日起十五日内，依照《中华人民共和国行政处罚法》第六十六条、第六十七条之规定，到指定的银行或者通过电子支付系统履行上述处罚决定。</w:t>
            </w:r>
          </w:p>
          <w:p>
            <w:pPr>
              <w:pStyle w:val="4"/>
              <w:snapToGrid w:val="0"/>
              <w:spacing w:line="400" w:lineRule="exact"/>
              <w:jc w:val="center"/>
              <w:rPr>
                <w:rFonts w:ascii="Times New Roman" w:hAnsi="Times New Roman" w:eastAsia="方正仿宋_GBK"/>
              </w:rPr>
            </w:pPr>
          </w:p>
        </w:tc>
        <w:tc>
          <w:tcPr>
            <w:tcW w:w="2213" w:type="dxa"/>
            <w:tcBorders>
              <w:top w:val="nil"/>
              <w:left w:val="nil"/>
              <w:bottom w:val="single" w:color="auto" w:sz="4" w:space="0"/>
              <w:right w:val="single" w:color="auto" w:sz="4" w:space="0"/>
              <w:tl2br w:val="nil"/>
              <w:tr2bl w:val="nil"/>
            </w:tcBorders>
            <w:vAlign w:val="center"/>
          </w:tcPr>
          <w:p>
            <w:pPr>
              <w:pStyle w:val="4"/>
              <w:wordWrap w:val="0"/>
              <w:snapToGrid w:val="0"/>
              <w:spacing w:before="0" w:beforeAutospacing="0" w:after="0" w:afterAutospacing="0" w:line="400" w:lineRule="exact"/>
              <w:jc w:val="center"/>
              <w:rPr>
                <w:rFonts w:hint="eastAsia" w:ascii="Times New Roman" w:hAnsi="Times New Roman" w:eastAsia="方正仿宋_GBK"/>
                <w:lang w:val="en-US" w:eastAsia="zh-CN"/>
              </w:rPr>
            </w:pPr>
            <w:r>
              <w:rPr>
                <w:rFonts w:hint="eastAsia" w:ascii="Times New Roman" w:hAnsi="Times New Roman" w:eastAsia="方正仿宋_GBK"/>
                <w:lang w:val="en-US" w:eastAsia="zh-CN"/>
              </w:rPr>
              <w:t>当事人不服本处罚决定的，依照《中华人民共和国行政复议法》第十一条、第二十条、第二十七条、《中华人民共和国行政诉讼法》第十五条第二项、第四十六条第一款之规定，可自收到本决定书之日起六十日内向中华人民共和国拱北海关申请行政复议，或者自收到本决定书之日起六个月内，直接向中山市中级人民法院提起诉讼。</w:t>
            </w:r>
          </w:p>
          <w:p>
            <w:pPr>
              <w:pStyle w:val="4"/>
              <w:wordWrap w:val="0"/>
              <w:snapToGrid w:val="0"/>
              <w:spacing w:before="0" w:beforeAutospacing="0" w:after="0" w:afterAutospacing="0" w:line="400" w:lineRule="exact"/>
              <w:jc w:val="center"/>
              <w:rPr>
                <w:rFonts w:hint="eastAsia" w:ascii="Times New Roman" w:hAnsi="Times New Roman" w:eastAsia="方正仿宋_GBK"/>
              </w:rPr>
            </w:pPr>
          </w:p>
          <w:p>
            <w:pPr>
              <w:pStyle w:val="4"/>
              <w:wordWrap w:val="0"/>
              <w:snapToGrid w:val="0"/>
              <w:spacing w:before="0" w:beforeAutospacing="0" w:after="0" w:afterAutospacing="0" w:line="400" w:lineRule="exact"/>
              <w:jc w:val="center"/>
              <w:rPr>
                <w:rFonts w:ascii="Times New Roman" w:hAnsi="Times New Roman" w:eastAsia="方正仿宋_GBK"/>
              </w:rPr>
            </w:pPr>
          </w:p>
        </w:tc>
        <w:tc>
          <w:tcPr>
            <w:tcW w:w="925" w:type="dxa"/>
            <w:tcBorders>
              <w:top w:val="nil"/>
              <w:left w:val="nil"/>
              <w:bottom w:val="single" w:color="auto" w:sz="4" w:space="0"/>
              <w:right w:val="single" w:color="auto" w:sz="4" w:space="0"/>
              <w:tl2br w:val="nil"/>
              <w:tr2bl w:val="nil"/>
            </w:tcBorders>
            <w:vAlign w:val="center"/>
          </w:tcPr>
          <w:p>
            <w:pPr>
              <w:pStyle w:val="4"/>
              <w:snapToGrid w:val="0"/>
              <w:spacing w:before="0" w:beforeAutospacing="0" w:after="0" w:afterAutospacing="0" w:line="400" w:lineRule="exact"/>
              <w:jc w:val="center"/>
              <w:rPr>
                <w:rFonts w:ascii="Times New Roman" w:hAnsi="Times New Roman" w:eastAsia="方正仿宋_GBK"/>
              </w:rPr>
            </w:pPr>
            <w:r>
              <w:rPr>
                <w:rFonts w:hint="eastAsia" w:ascii="Times New Roman" w:hAnsi="Times New Roman" w:eastAsia="方正仿宋_GBK"/>
              </w:rPr>
              <w:t>中山海关</w:t>
            </w:r>
          </w:p>
        </w:tc>
        <w:tc>
          <w:tcPr>
            <w:tcW w:w="1433" w:type="dxa"/>
            <w:tcBorders>
              <w:top w:val="nil"/>
              <w:left w:val="nil"/>
              <w:bottom w:val="single" w:color="auto" w:sz="4" w:space="0"/>
              <w:right w:val="single" w:color="auto" w:sz="4" w:space="0"/>
              <w:tl2br w:val="nil"/>
              <w:tr2bl w:val="nil"/>
            </w:tcBorders>
            <w:vAlign w:val="center"/>
          </w:tcPr>
          <w:p>
            <w:pPr>
              <w:pStyle w:val="4"/>
              <w:wordWrap w:val="0"/>
              <w:snapToGrid w:val="0"/>
              <w:spacing w:before="0" w:beforeAutospacing="0" w:after="0" w:afterAutospacing="0" w:line="400" w:lineRule="exact"/>
              <w:jc w:val="center"/>
              <w:rPr>
                <w:rFonts w:hint="eastAsia" w:ascii="Times New Roman" w:hAnsi="Times New Roman" w:eastAsia="方正仿宋_GBK"/>
              </w:rPr>
            </w:pPr>
            <w:r>
              <w:rPr>
                <w:rFonts w:hint="eastAsia" w:ascii="Times New Roman" w:hAnsi="Times New Roman" w:eastAsia="方正仿宋_GBK"/>
                <w:lang w:val="en-US" w:eastAsia="zh-CN"/>
              </w:rPr>
              <w:t>予以警告，处罚款人民币8.0236万元。</w:t>
            </w:r>
          </w:p>
          <w:p>
            <w:pPr>
              <w:pStyle w:val="4"/>
              <w:wordWrap w:val="0"/>
              <w:snapToGrid w:val="0"/>
              <w:spacing w:before="0" w:beforeAutospacing="0" w:after="0" w:afterAutospacing="0" w:line="400" w:lineRule="exact"/>
              <w:jc w:val="center"/>
              <w:rPr>
                <w:rFonts w:ascii="Times New Roman" w:hAnsi="Times New Roman" w:eastAsia="方正仿宋_GBK"/>
              </w:rPr>
            </w:pPr>
          </w:p>
        </w:tc>
      </w:tr>
      <w:bookmarkEnd w:id="0"/>
    </w:tbl>
    <w:p/>
    <w:sectPr>
      <w:footerReference r:id="rId3" w:type="default"/>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Unicode MS">
    <w:altName w:val="DejaVu Sans"/>
    <w:panose1 w:val="020B0604020202020204"/>
    <w:charset w:val="86"/>
    <w:family w:val="swiss"/>
    <w:pitch w:val="default"/>
    <w:sig w:usb0="00000000" w:usb1="00000000" w:usb2="0000003F" w:usb3="00000000" w:csb0="003F01F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sz w:val="32"/>
        <w:szCs w:val="32"/>
      </w:rPr>
    </w:pPr>
    <w:r>
      <w:rPr>
        <w:sz w:val="32"/>
        <w:szCs w:val="32"/>
      </w:rPr>
      <w:fldChar w:fldCharType="begin"/>
    </w:r>
    <w:r>
      <w:rPr>
        <w:sz w:val="32"/>
        <w:szCs w:val="32"/>
      </w:rPr>
      <w:instrText xml:space="preserve">Page</w:instrText>
    </w:r>
    <w:r>
      <w:rPr>
        <w:sz w:val="32"/>
        <w:szCs w:val="32"/>
      </w:rPr>
      <w:fldChar w:fldCharType="separate"/>
    </w:r>
    <w:r>
      <w:rPr>
        <w:sz w:val="32"/>
        <w:szCs w:val="32"/>
      </w:rPr>
      <w:t>- 2 -</w:t>
    </w:r>
    <w:r>
      <w:rPr>
        <w:sz w:val="32"/>
        <w:szCs w:val="3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F72"/>
    <w:rsid w:val="00063498"/>
    <w:rsid w:val="000E7EAF"/>
    <w:rsid w:val="001066E2"/>
    <w:rsid w:val="0014645E"/>
    <w:rsid w:val="0024111D"/>
    <w:rsid w:val="00303894"/>
    <w:rsid w:val="003216D9"/>
    <w:rsid w:val="003D2938"/>
    <w:rsid w:val="00736B49"/>
    <w:rsid w:val="00757A70"/>
    <w:rsid w:val="008403FF"/>
    <w:rsid w:val="00941BFE"/>
    <w:rsid w:val="00973192"/>
    <w:rsid w:val="0098724E"/>
    <w:rsid w:val="00995011"/>
    <w:rsid w:val="009B7E70"/>
    <w:rsid w:val="00A9265D"/>
    <w:rsid w:val="00B15904"/>
    <w:rsid w:val="00B662F1"/>
    <w:rsid w:val="00B76F72"/>
    <w:rsid w:val="00C37C11"/>
    <w:rsid w:val="00C9570A"/>
    <w:rsid w:val="00CF600D"/>
    <w:rsid w:val="00E67F3D"/>
    <w:rsid w:val="00E86FEF"/>
    <w:rsid w:val="00F14E51"/>
    <w:rsid w:val="00F70A4E"/>
    <w:rsid w:val="67971215"/>
    <w:rsid w:val="73FF6993"/>
    <w:rsid w:val="7D1F63B7"/>
    <w:rsid w:val="F7FF5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7"/>
      </w:tabs>
      <w:snapToGrid w:val="0"/>
      <w:jc w:val="left"/>
    </w:pPr>
    <w:rPr>
      <w:sz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qFormat/>
    <w:uiPriority w:val="0"/>
    <w:pPr>
      <w:spacing w:before="100" w:beforeAutospacing="1" w:after="100" w:afterAutospacing="1"/>
    </w:pPr>
    <w:rPr>
      <w:rFonts w:ascii="Arial Unicode MS" w:hAnsi="Arial Unicode MS" w:eastAsia="Times New Roman" w:cs="Times New Roman"/>
      <w:sz w:val="24"/>
      <w:szCs w:val="24"/>
      <w:lang w:val="en-US" w:eastAsia="zh-CN" w:bidi="ar-SA"/>
    </w:rPr>
  </w:style>
  <w:style w:type="character" w:customStyle="1" w:styleId="7">
    <w:name w:val="页脚 Char"/>
    <w:basedOn w:val="6"/>
    <w:link w:val="2"/>
    <w:qFormat/>
    <w:uiPriority w:val="0"/>
    <w:rPr>
      <w:rFonts w:ascii="Calibri" w:hAnsi="Calibri" w:eastAsia="宋体" w:cs="Times New Roman"/>
      <w:sz w:val="18"/>
      <w:szCs w:val="22"/>
    </w:rPr>
  </w:style>
  <w:style w:type="character" w:customStyle="1" w:styleId="8">
    <w:name w:val="页眉 Char"/>
    <w:basedOn w:val="6"/>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GBHG</Company>
  <Pages>3</Pages>
  <Words>147</Words>
  <Characters>840</Characters>
  <Lines>7</Lines>
  <Paragraphs>1</Paragraphs>
  <TotalTime>2</TotalTime>
  <ScaleCrop>false</ScaleCrop>
  <LinksUpToDate>false</LinksUpToDate>
  <CharactersWithSpaces>986</CharactersWithSpaces>
  <Application>WPS Office_11.8.2.1118_F1E327BC-269C-435d-A152-05C5408002CA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2026-01-04T23:34:00Z</dcterms:created>
  <dc:creator>赖少钧</dc:creator>
  <cp:lastModifiedBy>gb2932</cp:lastModifiedBy>
  <dcterms:modified xsi:type="dcterms:W3CDTF">2026-09-11T14:59:47Z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2052-11.8.2.1118</vt:lpwstr>
  </property>
  <property fmtid="{D5CDD505-2E9C-101B-9397-08002B2CF9AE}" pid="3" name="ICV">
    <vt:lpwstr>7575510FBA6D2AA398A4A36A291B2B94</vt:lpwstr>
  </property>
</Properties>
</file>